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b/>
          <w:bCs/>
          <w:sz w:val="28"/>
          <w:szCs w:val="28"/>
        </w:rPr>
        <w:t xml:space="preserve">KLAUZULA INFORMACYJNA RODO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art. 13 rozporządzenia (UE) 2016/679</w:t>
      </w:r>
    </w:p>
    <w:p>
      <w:pPr>
        <w:spacing w:after="120" w:before="80" w:line="276"/>
        <w:jc w:val="both"/>
      </w:pPr>
      <w:r>
        <w:rPr>
          <w:b w:val="false"/>
          <w:bCs w:val="false"/>
          <w:i w:val="false"/>
          <w:iCs w:val="false"/>
        </w:rPr>
        <w:t xml:space="preserve">Administratorem danych osobowych jest </w:t>
      </w:r>
      <w:r>
        <w:rPr>
          <w:b/>
          <w:bCs/>
          <w:i w:val="false"/>
          <w:iCs w:val="false"/>
        </w:rPr>
        <w:t xml:space="preserve">[PEŁNA NAZWA / FIRMA ADMINISTRATORA]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kontakt: </w:t>
      </w:r>
      <w:r>
        <w:rPr>
          <w:b/>
          <w:bCs/>
          <w:i w:val="false"/>
          <w:iCs w:val="false"/>
        </w:rPr>
        <w:t xml:space="preserve">[E-MAIL / TELEFON]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Cele i podstawy przetwarzania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a)  zawarcie i wykonanie umowy pożyczki — art. 6 ust. 1 lit. b RODO;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b)  wypełnienie obowiązków prawnych, w tym z zakresu przeciwdziałania praniu pieniędzy oraz podatkowych — art. 6 ust. 1 lit. c RODO;</w:t>
      </w:r>
    </w:p>
    <w:p>
      <w:pPr>
        <w:spacing w:after="10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c)  dochodzenie i obrona roszczeń, windykacja, cesja wierzytelności — art. 6 ust. 1 lit. f RODO (prawnie uzasadniony interes administratora).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Odbiorcy danych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Dane mogą być przekazywane: firmom windykacyjnym i kancelariom prawnym, biurom informacji gospodarczej (BIG/KRD), nabywcom wierzytelności (cesjonariuszom), notariuszom, sądom i komornikom oraz podmiotom uprawnionym na podstawie przepisów prawa.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Okres przechowywania i prawa</w:t>
      </w:r>
    </w:p>
    <w:p>
      <w:pPr>
        <w:spacing w:after="10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Dane przechowywane są przez okres obowiązywania umowy oraz przedawnienia roszczeń, a także przez okres wynikający z przepisów (m.in. AML, podatkowych). Przysługuje prawo dostępu, sprostowania, usunięcia, ograniczenia, sprzeciwu i przenoszenia danych, a także prawo wniesienia skargi do Prezesa UODO. Podanie danych jest dobrowolne, lecz niezbędne do zawarcia umowy.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Klauzula informacyjna nie jest zgodą — to obowiązek informacyjny administratora; nie wymaga podpisu, ale warto odebrać potwierdzenie zapoznania.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Wskaż realny okres retencji spójny z polityką firmy (§ 5 Umowy mówi o 10 latach — ujednolić zapisy).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2026-06-10T19:05:03.720Z</dcterms:created>
  <dcterms:modified xsi:type="dcterms:W3CDTF">2026-06-10T19:05:03.720Z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