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13d4c9747fb73530e905bf931fc48ff5e38ca2"/>
    <w:p>
      <w:pPr>
        <w:pStyle w:val="Heading1"/>
      </w:pPr>
      <w:r>
        <w:t xml:space="preserve">Procedura wewnętrzna AML/CFT – wzór dla firmy pożyczkowej B2B</w:t>
      </w:r>
    </w:p>
    <w:p>
      <w:pPr>
        <w:pStyle w:val="FirstParagraph"/>
      </w:pPr>
      <w:r>
        <w:t xml:space="preserve">Wzór gotowy do dostosowania: pola w [nawiasach kwadratowych] uzupełnia Spółka, a przed przyjęciem uchwałą Zarządu procedurę należy zestawić z aktualną oceną ryzyka i zweryfikować z prawnikiem AML.</w:t>
      </w:r>
    </w:p>
    <w:bookmarkStart w:id="20" w:name="metryczka"/>
    <w:p>
      <w:pPr>
        <w:pStyle w:val="Heading2"/>
      </w:pPr>
      <w:r>
        <w:t xml:space="preserve">Metryczka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Pole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Wartość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Instytucja obowiązana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[Nazwa spółki], KRS [●], NIP [●]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Działalność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Udzielanie pożyczek przedsiębiorcom (B2B), w tym zabezpieczonych hipoteką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Wersja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Przyjęta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Uchwała Zarządu nr [●] z dnia [●]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Właściciel procedury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Pracownik odpowiedzialny za AML (AML Officer)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Zatwierdza zmiany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Członek Zarządu odpowiedzialny za 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Najbliższy przegląd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[●] (nie rzadziej niż co 12 miesięcy)</w:t>
            </w:r>
          </w:p>
        </w:tc>
      </w:tr>
    </w:tbl>
    <w:p>
      <w:pPr>
        <w:pStyle w:val="BodyText"/>
      </w:pPr>
      <w:r>
        <w:rPr>
          <w:bCs/>
          <w:b/>
        </w:rPr>
        <w:t xml:space="preserve">Jak korzystać ze wzoru:</w:t>
      </w:r>
    </w:p>
    <w:p>
      <w:pPr>
        <w:numPr>
          <w:ilvl w:val="0"/>
          <w:numId w:val="1001"/>
        </w:numPr>
        <w:pStyle w:val="Compact"/>
      </w:pPr>
      <w:r>
        <w:t xml:space="preserve">Procedura musi wynikać z Oceny Ryzyka Instytucji (rozdz. 3). Najpierw sporządź ocenę, potem dostosuj progi i katalog sygnałów.</w:t>
      </w:r>
    </w:p>
    <w:p>
      <w:pPr>
        <w:numPr>
          <w:ilvl w:val="0"/>
          <w:numId w:val="1001"/>
        </w:numPr>
        <w:pStyle w:val="Compact"/>
      </w:pPr>
      <w:r>
        <w:t xml:space="preserve">Numery artykułów odnoszą się do ustawy AML w brzmieniu znanym na dzień sporządzenia wzoru. Przed przyjęciem sprawdź tekst jednolity i najnowsze nowelizacje.</w:t>
      </w:r>
    </w:p>
    <w:p>
      <w:pPr>
        <w:numPr>
          <w:ilvl w:val="0"/>
          <w:numId w:val="1001"/>
        </w:numPr>
        <w:pStyle w:val="Compact"/>
      </w:pPr>
      <w:r>
        <w:t xml:space="preserve">Od 10 lipca 2027 r. stosuje się rozporządzenie UE 2024/1624 (AMLR). Zaplanuj aktualizację procedury przed tą datą.</w:t>
      </w:r>
    </w:p>
    <w:p>
      <w:pPr>
        <w:numPr>
          <w:ilvl w:val="0"/>
          <w:numId w:val="1001"/>
        </w:numPr>
        <w:pStyle w:val="Compact"/>
      </w:pPr>
      <w:r>
        <w:t xml:space="preserve">Wzór nie stanowi porady prawnej.</w:t>
      </w:r>
    </w:p>
    <w:bookmarkEnd w:id="20"/>
    <w:bookmarkStart w:id="21" w:name="postanowienia-ogólne"/>
    <w:p>
      <w:pPr>
        <w:pStyle w:val="Heading2"/>
      </w:pPr>
      <w:r>
        <w:t xml:space="preserve">1. Postanowienia ogólne</w:t>
      </w:r>
    </w:p>
    <w:p>
      <w:pPr>
        <w:pStyle w:val="FirstParagraph"/>
      </w:pPr>
      <w:r>
        <w:rPr>
          <w:bCs/>
          <w:b/>
        </w:rPr>
        <w:t xml:space="preserve">§ 1. Cel.</w:t>
      </w:r>
      <w:r>
        <w:t xml:space="preserve"> </w:t>
      </w:r>
      <w:r>
        <w:t xml:space="preserve">Procedura określa zasady przeciwdziałania praniu pieniędzy i finansowaniu terroryzmu (AML/CFT) w [Nazwa spółki] („Spółka”). Ma zapewnić, że Spółka nie zostanie wykorzystana do legalizacji środków z przestępstw, w szczególności przez spłatę pożyczek środkami z nieujawnionych źródeł.</w:t>
      </w:r>
    </w:p>
    <w:p>
      <w:pPr>
        <w:pStyle w:val="BodyText"/>
      </w:pPr>
      <w:r>
        <w:rPr>
          <w:bCs/>
          <w:b/>
        </w:rPr>
        <w:t xml:space="preserve">§ 2. Podstawa prawna.</w:t>
      </w:r>
    </w:p>
    <w:p>
      <w:pPr>
        <w:numPr>
          <w:ilvl w:val="0"/>
          <w:numId w:val="1002"/>
        </w:numPr>
        <w:pStyle w:val="Compact"/>
      </w:pPr>
      <w:r>
        <w:t xml:space="preserve">Ustawa z 1 marca 2018 r. o przeciwdziałaniu praniu pieniędzy oraz finansowaniu terroryzmu (t.j. Dz.U. 2025 poz. 644 z późn. zm.) – „Ustawa”.</w:t>
      </w:r>
    </w:p>
    <w:p>
      <w:pPr>
        <w:numPr>
          <w:ilvl w:val="0"/>
          <w:numId w:val="1002"/>
        </w:numPr>
        <w:pStyle w:val="Compact"/>
      </w:pPr>
      <w:r>
        <w:t xml:space="preserve">Ustawa z 13 kwietnia 2022 r. o szczególnych rozwiązaniach w zakresie przeciwdziałania wspieraniu agresji na Ukrainę oraz służących ochronie bezpieczeństwa narodowego.</w:t>
      </w:r>
    </w:p>
    <w:p>
      <w:pPr>
        <w:numPr>
          <w:ilvl w:val="0"/>
          <w:numId w:val="1002"/>
        </w:numPr>
        <w:pStyle w:val="Compact"/>
      </w:pPr>
      <w:r>
        <w:t xml:space="preserve">Rozporządzenia sankcyjne UE (m.in. 269/2014, 833/2014, 765/2006) oraz listy sankcyjne ONZ.</w:t>
      </w:r>
    </w:p>
    <w:p>
      <w:pPr>
        <w:numPr>
          <w:ilvl w:val="0"/>
          <w:numId w:val="1002"/>
        </w:numPr>
        <w:pStyle w:val="Compact"/>
      </w:pPr>
      <w:r>
        <w:t xml:space="preserve">Krajowa ocena ryzyka prania pieniędzy i finansowania terroryzmu (GIIF) oraz ponadnarodowa ocena ryzyka Komisji Europejskiej.</w:t>
      </w:r>
    </w:p>
    <w:p>
      <w:pPr>
        <w:numPr>
          <w:ilvl w:val="0"/>
          <w:numId w:val="1002"/>
        </w:numPr>
        <w:pStyle w:val="Compact"/>
      </w:pPr>
      <w:r>
        <w:t xml:space="preserve">Rozporządzenie (UE) 2024/1624 (AMLR) – od 10 lipca 2027 r.</w:t>
      </w:r>
    </w:p>
    <w:p>
      <w:pPr>
        <w:pStyle w:val="FirstParagraph"/>
      </w:pPr>
      <w:r>
        <w:rPr>
          <w:bCs/>
          <w:b/>
        </w:rPr>
        <w:t xml:space="preserve">§ 3. Zakres.</w:t>
      </w:r>
      <w:r>
        <w:t xml:space="preserve"> </w:t>
      </w:r>
      <w:r>
        <w:t xml:space="preserve">Spółka jest instytucją obowiązaną jako przedsiębiorca udzielający pożyczek. Procedura obejmuje wszystkich członków Zarządu, pracowników, współpracowników na umowach cywilnoprawnych oraz pośredników i agentów pozyskujących pożyczkobiorców.</w:t>
      </w:r>
    </w:p>
    <w:p>
      <w:pPr>
        <w:pStyle w:val="BodyText"/>
      </w:pPr>
      <w:r>
        <w:rPr>
          <w:bCs/>
          <w:b/>
        </w:rPr>
        <w:t xml:space="preserve">§ 4. Definicje.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Termin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Znaczenie w Procedurze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Przedsiębiorca (osoba prawna, jednostka bez osobowości, JDG), z którym Spółka nawiązuje stosunki gospodarcze; także poręczyciel i dłużnik rzeczowy (właściciel nieruchomości), jeśli nie jest pożyczkobiorcą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Beneficjent rzeczywisty (BR)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Osoba fizyczna sprawująca bezpośrednio lub pośrednio kontrolę nad Klientem, w szczególności posiadająca ponad 25% udziałów lub głosów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Osoba reprezentująca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Osoba fizyczna działająca w imieniu Klienta (członek zarządu, prokurent, pełnomocnik)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Osoba zajmująca eksponowane stanowisko polityczne, członek jej rodziny lub bliski współpracownik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ŚBF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Środki bezpieczeństwa finansowego (art. 34 Ustawy)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Generalny Inspektor Informacji Finansowej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AML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Pracownik odpowiedzialny za zapewnienie zgodności działalności Spółki z przepisami 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Członek Zarządu ds. 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Członek Zarządu odpowiedzialny za wdrożenie obowiązków 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Transakcja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Wypłata pożyczki, każda spłata, wcześniejsza spłata, zwrot nadpłaty, cesja wierzytelności</w:t>
            </w:r>
          </w:p>
        </w:tc>
      </w:tr>
    </w:tbl>
    <w:bookmarkEnd w:id="21"/>
    <w:bookmarkStart w:id="22" w:name="organizacja-i-odpowiedzialność"/>
    <w:p>
      <w:pPr>
        <w:pStyle w:val="Heading2"/>
      </w:pPr>
      <w:r>
        <w:t xml:space="preserve">2. Organizacja i odpowiedzialność</w:t>
      </w:r>
    </w:p>
    <w:p>
      <w:pPr>
        <w:pStyle w:val="FirstParagraph"/>
      </w:pPr>
      <w:r>
        <w:t xml:space="preserve">Za realizację obowiązków AML odpowiada cały Zarząd; jednego członka wyznacza się jako odpowiedzialnego za wdrożenie, a AML Officera – za bieżącą zgodność (art. 6–8 Ustawy).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Rola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Kto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Zadania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Zarząd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[imiona i nazwiska]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Przyjmuje Procedurę i Ocenę Ryzyka Instytucji; zapewnia zasoby; zatwierdza relacje wysokiego ryzyka i z PEP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Członek Zarządu ds. 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[●]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Nadzoruje wdrożenie; zatwierdza zmiany Procedury; otrzymuje raporty AML Officera; podpisuje zawiadomienia do GIIF i prokuratury, gdy AML Officer jest niedostępny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AML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[●], zastępca: [●]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Prowadzi ocenę ryzyka; analizuje alerty; podejmuje decyzję o zawiadomieniu GIIF; prowadzi rejestr zgłoszeń; organizuje szkolenia; raportuje Zarządowi co kwartał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Doradca / analityk kredytowy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Pracownicy front-office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Stosuje ŚBF; zbiera dokumenty; wypełnia Kartę Klienta; zgłasza nietypowe zdarzenia AML Officerowi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Księgowość / obsługa spłat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[●]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Monitoruje wpływy i wypłaty; weryfikuje zgodność rachunku i płatnika; zgłasza spłaty od osób trzecich i nietypowe nadpłaty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Windykacja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[●]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Zgłasza nietypowe źródła spłat zaległości i propozycje rozliczeń od podmiotów niepowiązanych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Pośrednicy / agenci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Partnerzy zewnętrzni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 stosują ŚBF w imieniu Spółki, chyba że umowa przewiduje powierzenie (art. 47 Ustawy); przekazują pełne dane Klienta; podlegają szkoleniu i ocenie</w:t>
            </w:r>
          </w:p>
        </w:tc>
      </w:tr>
    </w:tbl>
    <w:p>
      <w:pPr>
        <w:pStyle w:val="BodyText"/>
      </w:pPr>
      <w:r>
        <w:rPr>
          <w:bCs/>
          <w:b/>
        </w:rPr>
        <w:t xml:space="preserve">§ 5. Niezależność AML Officera.</w:t>
      </w:r>
      <w:r>
        <w:t xml:space="preserve"> </w:t>
      </w:r>
      <w:r>
        <w:t xml:space="preserve">AML Officer ma bezpośredni dostęp do Zarządu i wszystkich dokumentów. Jego decyzja o zawiadomieniu GIIF nie wymaga zgody sprzedaży ani Zarządu. Nie może być wynagradzany prowizyjnie od wolumenu pożyczek.</w:t>
      </w:r>
    </w:p>
    <w:p>
      <w:pPr>
        <w:pStyle w:val="BodyText"/>
      </w:pPr>
      <w:r>
        <w:rPr>
          <w:bCs/>
          <w:b/>
        </w:rPr>
        <w:t xml:space="preserve">§ 6. Ocena pracowników.</w:t>
      </w:r>
      <w:r>
        <w:t xml:space="preserve"> </w:t>
      </w:r>
      <w:r>
        <w:t xml:space="preserve">Przy zatrudnieniu na stanowiskach wymienionych w tabeli powyżej Spółka weryfikuje niekaralność i reputację kandydata w zakresie adekwatnym do roli.</w:t>
      </w:r>
    </w:p>
    <w:bookmarkEnd w:id="22"/>
    <w:bookmarkStart w:id="23" w:name="ocena-ryzyka"/>
    <w:p>
      <w:pPr>
        <w:pStyle w:val="Heading2"/>
      </w:pPr>
      <w:r>
        <w:t xml:space="preserve">3. Ocena ryzyka</w:t>
      </w:r>
    </w:p>
    <w:p>
      <w:pPr>
        <w:pStyle w:val="FirstParagraph"/>
      </w:pPr>
      <w:r>
        <w:rPr>
          <w:bCs/>
          <w:b/>
        </w:rPr>
        <w:t xml:space="preserve">§ 7. Ocena Ryzyka Instytucji (art. 27 Ustawy).</w:t>
      </w:r>
      <w:r>
        <w:t xml:space="preserve"> </w:t>
      </w:r>
      <w:r>
        <w:t xml:space="preserve">Spółka sporządza pisemną ocenę ryzyka AML/CFT swojej działalności, uwzględniając czynniki dotyczące klientów, produktów, kanałów dystrybucji i obszarów geograficznych. Ocenę aktualizuje się co najmniej raz na 2 lata oraz po każdej istotnej zmianie (nowy produkt, nowy kanał pozyskania, nowa krajowa ocena ryzyka GIIF). Ocenę przyjmuje Zarząd.</w:t>
      </w:r>
    </w:p>
    <w:p>
      <w:pPr>
        <w:pStyle w:val="BodyText"/>
      </w:pPr>
      <w:r>
        <w:rPr>
          <w:bCs/>
          <w:b/>
        </w:rPr>
        <w:t xml:space="preserve">§ 8. Ocena ryzyka Klienta (art. 33 Ustawy).</w:t>
      </w:r>
      <w:r>
        <w:t xml:space="preserve"> </w:t>
      </w:r>
      <w:r>
        <w:t xml:space="preserve">Przed nawiązaniem relacji AML Officer lub analityk wypełnia Kartę Oceny Ryzyka (Załącznik 2). Każdy czynnik ocenia się w skali 1–3, a wynik decyduje o zakresie ŚBF i częstotliwości przeglądu.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Obszar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Ryzyko niskie (1)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Ryzyko średnie (2)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Ryzyko wysokie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Forma i historia Klienta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Spółka z wieloletnią historią, sprawozdania w KRS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JDG, spółka do 2 lat działalności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Spółka nowo założona lub niedawno kupiona („spółka z półki”), częste zmiany zarządu i wspólników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Struktura własności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Przejrzysta, BR zgodny z CRBR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Holding krajowy, 2 poziomy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Wielopoziomowa, podmioty zagraniczne, trusty, rozbieżność z CRBR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Branża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Produkcja, usługi z udokumentowanym obrotem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Budownictwo, nieruchomości, handel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Gotówkochłonna (gastronomia, kantory, skup złota, auta), kryptoaktywa, gry hazardowe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Geografia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Polska / 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Państwa trzecie spoza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Państwa wysokiego ryzyka (lista KE, FATF), państwa objęte sankcjami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Cel pożyczki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Udokumentowany (inwestycja, kapitał obrotowy z budżetem)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Ogólny, częściowo udokumentowany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Nieokreślony, niespójny z działalnością, „pilny” bez uzasadnienia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Zabezpieczenie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Nieruchomość Klienta lub BR, czysta księga wieczysta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Nieruchomość osoby powiązanej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Nieruchomość osoby niepowiązanej, świeżo nabyta, z niejasną historią obrotu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Kanał pozyskania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Bezpośredni, spotkanie osobiste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Pośrednik zweryfikowany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Zdalnie bez weryfikacji tożsamości, nowy pośrednik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PEP / sankcje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PEP lub trafienie wymagające wyjaśnienia</w:t>
            </w:r>
          </w:p>
        </w:tc>
      </w:tr>
    </w:tbl>
    <w:p>
      <w:pPr>
        <w:pStyle w:val="BodyText"/>
      </w:pPr>
      <w:r>
        <w:rPr>
          <w:bCs/>
          <w:b/>
        </w:rPr>
        <w:t xml:space="preserve">§ 9. Klasyfikacja.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Suma punktów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Kategoria ryzyka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Zakres ŚBF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Akceptacja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Przegląd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Niskie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Standardowe (uproszczone tylko przy spełnieniu art. 42)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Analityk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 36 miesięcy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13–17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Średnie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Standardowe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AML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 24 miesiące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18–24 lub dowolny czynnik z §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Wysokie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Wzmożone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Członek Zarządu ds. 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 12 miesięcy</w:t>
            </w:r>
          </w:p>
        </w:tc>
      </w:tr>
    </w:tbl>
    <w:p>
      <w:pPr>
        <w:pStyle w:val="BodyText"/>
      </w:pPr>
      <w:r>
        <w:rPr>
          <w:bCs/>
          <w:b/>
        </w:rPr>
        <w:t xml:space="preserve">§ 10. Czynniki automatycznie podnoszące ryzyko.</w:t>
      </w:r>
      <w:r>
        <w:t xml:space="preserve"> </w:t>
      </w:r>
      <w:r>
        <w:t xml:space="preserve">Niezależnie od punktów ryzyko jest wysokie, gdy: Klient lub BR jest PEP; Klient ma powiązania z państwem wysokiego ryzyka; nie da się ustalić BR lub istnieje rozbieżność z CRBR. Relacji nie nawiązuje się, gdy Klient lub BR jest na liście sankcyjnej albo odmawia wskazania źródła środków.</w:t>
      </w:r>
    </w:p>
    <w:bookmarkEnd w:id="23"/>
    <w:bookmarkStart w:id="24" w:name="środki-bezpieczeństwa-finansowego-śbf"/>
    <w:p>
      <w:pPr>
        <w:pStyle w:val="Heading2"/>
      </w:pPr>
      <w:r>
        <w:t xml:space="preserve">4. Środki bezpieczeństwa finansowego (ŚBF)</w:t>
      </w:r>
    </w:p>
    <w:p>
      <w:pPr>
        <w:pStyle w:val="FirstParagraph"/>
      </w:pPr>
      <w:r>
        <w:t xml:space="preserve">Spółka stosuje ŚBF wobec każdego Klienta przed wypłatą pożyczki, ponieważ każda umowa pożyczki nawiązuje stosunki gospodarcze (art. 35 Ustawy); próg 15 000 EUR dotyczy jedynie transakcji okazjonalnych i w działalności pożyczkowej praktycznie nie ma zastosowania.</w:t>
      </w:r>
    </w:p>
    <w:p>
      <w:pPr>
        <w:pStyle w:val="BodyText"/>
      </w:pPr>
      <w:r>
        <w:rPr>
          <w:bCs/>
          <w:b/>
        </w:rPr>
        <w:t xml:space="preserve">§ 11. Kiedy stosuje się ŚBF.</w:t>
      </w:r>
    </w:p>
    <w:p>
      <w:pPr>
        <w:numPr>
          <w:ilvl w:val="0"/>
          <w:numId w:val="1003"/>
        </w:numPr>
        <w:pStyle w:val="Compact"/>
      </w:pPr>
      <w:r>
        <w:t xml:space="preserve">Przed zawarciem umowy pożyczki, poręczenia lub ustanowieniem hipoteki przez osobę trzecią.</w:t>
      </w:r>
    </w:p>
    <w:p>
      <w:pPr>
        <w:numPr>
          <w:ilvl w:val="0"/>
          <w:numId w:val="1003"/>
        </w:numPr>
        <w:pStyle w:val="Compact"/>
      </w:pPr>
      <w:r>
        <w:t xml:space="preserve">Przy podejrzeniu prania pieniędzy lub finansowania terroryzmu – niezależnie od kwoty.</w:t>
      </w:r>
    </w:p>
    <w:p>
      <w:pPr>
        <w:numPr>
          <w:ilvl w:val="0"/>
          <w:numId w:val="1003"/>
        </w:numPr>
        <w:pStyle w:val="Compact"/>
      </w:pPr>
      <w:r>
        <w:t xml:space="preserve">Przy wątpliwościach co do prawdziwości wcześniej uzyskanych danych.</w:t>
      </w:r>
    </w:p>
    <w:p>
      <w:pPr>
        <w:numPr>
          <w:ilvl w:val="0"/>
          <w:numId w:val="1003"/>
        </w:numPr>
        <w:pStyle w:val="Compact"/>
      </w:pPr>
      <w:r>
        <w:t xml:space="preserve">Przy każdej istotnej zmianie u Klienta (zmiana wspólników, BR, zarządu, siedziby) oraz w terminach przeglądu z § 9.</w:t>
      </w:r>
    </w:p>
    <w:p>
      <w:pPr>
        <w:pStyle w:val="FirstParagraph"/>
      </w:pPr>
      <w:r>
        <w:rPr>
          <w:bCs/>
          <w:b/>
        </w:rPr>
        <w:t xml:space="preserve">§ 12. Zakres ŚBF (art. 34 Ustawy).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Identyfikacja i weryfikacja Klienta.</w:t>
      </w:r>
      <w:r>
        <w:t xml:space="preserve"> </w:t>
      </w:r>
      <w:r>
        <w:t xml:space="preserve">Dane z KRS / CEIDG, NIP, REGON, adres siedziby, przedmiot działalności, osoby uprawnione do reprezentacji. Weryfikacja: odpis KRS pobrany przez Spółkę, wpis CEIDG, biała lista VAT, sprawozdania finansowe.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Identyfikacja osoby reprezentującej i pełnomocnika.</w:t>
      </w:r>
      <w:r>
        <w:t xml:space="preserve"> </w:t>
      </w:r>
      <w:r>
        <w:t xml:space="preserve">Imię i nazwisko, obywatelstwo, PESEL lub data urodzenia, seria i numer dokumentu tożsamości, adres. Weryfikacja: oryginał dokumentu przy spotkaniu albo weryfikacja zdalna (dokument + biometria twarzy) przez dostawcę [●]. Pełnomocnictwo w formie co najmniej odpowiadającej czynności.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Ustalenie beneficjenta rzeczywistego.</w:t>
      </w:r>
      <w:r>
        <w:t xml:space="preserve"> </w:t>
      </w:r>
      <w:r>
        <w:t xml:space="preserve">Oświadczenie Klienta o BR (Załącznik 3), wydruk z CRBR, analiza struktury własności do poziomu osoby fizycznej. Gdy BR nie da się ustalić mimo wyczerpania działań – za BR uznaje się członków zarządu, a fakt ten i podjęte czynności dokumentuje się.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Rozbieżność z CRBR.</w:t>
      </w:r>
      <w:r>
        <w:t xml:space="preserve"> </w:t>
      </w:r>
      <w:r>
        <w:t xml:space="preserve">Każdą rozbieżność między CRBR a ustaleniami Spółki AML Officer zgłasza do CRBR (art. 61a Ustawy) i podnosi ryzyko Klienta.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Cel i charakter relacji.</w:t>
      </w:r>
      <w:r>
        <w:t xml:space="preserve"> </w:t>
      </w:r>
      <w:r>
        <w:t xml:space="preserve">Udokumentowany cel pożyczki, źródło spłaty, planowany sposób spłaty (z rachunku Klienta, ze sprzedaży nieruchomości, z refinansowania).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Źródło środków.</w:t>
      </w:r>
      <w:r>
        <w:t xml:space="preserve"> </w:t>
      </w:r>
      <w:r>
        <w:t xml:space="preserve">Przy wkładzie własnym, przedterminowej spłacie i spłacie jednorazowej (balonowej) – dokument źródła: wyciąg bankowy, umowa sprzedaży, umowa kredytu refinansującego.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Bieżące monitorowanie.</w:t>
      </w:r>
      <w:r>
        <w:t xml:space="preserve"> </w:t>
      </w:r>
      <w:r>
        <w:t xml:space="preserve">Analiza wpływów i wypłat pod kątem zgodności z profilem Klienta (§ 14).</w:t>
      </w:r>
    </w:p>
    <w:p>
      <w:pPr>
        <w:pStyle w:val="FirstParagraph"/>
      </w:pPr>
      <w:r>
        <w:rPr>
          <w:bCs/>
          <w:b/>
        </w:rPr>
        <w:t xml:space="preserve">§ 13. Środki uproszczone i wzmożone.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Rodzaj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Kiedy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 się zmienia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Uproszczone (art. 42–42a)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Niskie ryzyko potwierdzone w Karcie i spełnione przesłanki ustawowe, np. Klient – spółka publiczna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Rzadszy przegląd, mniejszy zakres dokumentów źródła środków; identyfikacja i ustalenie BR zawsze pełne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Wzmożone (art. 43–46)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Ryzyko wysokie, PEP, państwo wysokiego ryzyka, struktura złożona, zabezpieczenie od osoby niepowiązanej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Dokumenty źródła majątku BR, dodatkowa weryfikacja reputacyjna (media, rejestry dłużników, KRZ), zgoda Członka Zarządu ds. AML, monitoring każdej spłaty, przegląd co 12 miesięcy</w:t>
            </w:r>
          </w:p>
        </w:tc>
      </w:tr>
    </w:tbl>
    <w:p>
      <w:pPr>
        <w:pStyle w:val="BodyText"/>
      </w:pPr>
      <w:r>
        <w:rPr>
          <w:bCs/>
          <w:b/>
        </w:rPr>
        <w:t xml:space="preserve">§ 14. Monitorowanie spłat.</w:t>
      </w:r>
      <w:r>
        <w:t xml:space="preserve"> </w:t>
      </w:r>
      <w:r>
        <w:t xml:space="preserve">Księgowość sprawdza przy każdym wpływie: zgodność płatnika z Klientem, rachunek w banku z UE, kwotę względem harmonogramu. Spłata od osoby trzeciej wymaga pisemnego wyjaśnienia Klienta i akceptacji AML Officera przed zaksięgowaniem jako rozliczenia ostatecznego. Nadpłaty zwraca się wyłącznie na rachunek, z którego wpłynęły.</w:t>
      </w:r>
    </w:p>
    <w:p>
      <w:pPr>
        <w:pStyle w:val="BodyText"/>
      </w:pPr>
      <w:r>
        <w:rPr>
          <w:bCs/>
          <w:b/>
        </w:rPr>
        <w:t xml:space="preserve">§ 15. Gotówka.</w:t>
      </w:r>
      <w:r>
        <w:t xml:space="preserve"> </w:t>
      </w:r>
      <w:r>
        <w:t xml:space="preserve">Spółka nie wypłaca pożyczek i nie przyjmuje spłat w gotówce. [Jeżeli Spółka dopuszcza gotówkę – wpisać limit i obowiązek raportu transakcji ponadprogowych.]</w:t>
      </w:r>
    </w:p>
    <w:p>
      <w:pPr>
        <w:pStyle w:val="BodyText"/>
      </w:pPr>
      <w:r>
        <w:rPr>
          <w:bCs/>
          <w:b/>
        </w:rPr>
        <w:t xml:space="preserve">§ 16. Odmowa (art. 41 Ustawy).</w:t>
      </w:r>
      <w:r>
        <w:t xml:space="preserve"> </w:t>
      </w:r>
      <w:r>
        <w:t xml:space="preserve">Jeżeli nie można zastosować któregokolwiek ŚBF, Spółka nie zawiera umowy, nie wypłaca środków, a trwającą relację rozwiązuje. AML Officer ocenia, czy zachodzi podstawa do zawiadomienia GIIF (rozdz. 7). Odmowę dokumentuje się w Rejestrze, bez podawania Klientowi jej rzeczywistej przyczyny, jeśli groziłoby to ujawnieniem zawiadomienia.</w:t>
      </w:r>
    </w:p>
    <w:p>
      <w:pPr>
        <w:pStyle w:val="BodyText"/>
      </w:pPr>
      <w:r>
        <w:rPr>
          <w:bCs/>
          <w:b/>
        </w:rPr>
        <w:t xml:space="preserve">§ 17. Poleganie na osobach trzecich.</w:t>
      </w:r>
      <w:r>
        <w:t xml:space="preserve"> </w:t>
      </w:r>
      <w:r>
        <w:t xml:space="preserve">Spółka może korzystać ze ŚBF zastosowanych przez inną instytucję obowiązaną (art. 47–48 Ustawy) tylko na podstawie pisemnej umowy zapewniającej niezwłoczny dostęp do kopii dokumentów. Odpowiedzialność za ŚBF pozostaje przy Spółce.</w:t>
      </w:r>
    </w:p>
    <w:bookmarkEnd w:id="24"/>
    <w:bookmarkStart w:id="25" w:name="pep-sankcje-i-kraje-wysokiego-ryzyka"/>
    <w:p>
      <w:pPr>
        <w:pStyle w:val="Heading2"/>
      </w:pPr>
      <w:r>
        <w:t xml:space="preserve">5. PEP, sankcje i kraje wysokiego ryzyka</w:t>
      </w:r>
    </w:p>
    <w:p>
      <w:pPr>
        <w:pStyle w:val="FirstParagraph"/>
      </w:pPr>
      <w:r>
        <w:t xml:space="preserve">Każdego Klienta, osobę reprezentującą, BR, poręczyciela i właściciela nieruchomości sprawdza się na listach PEP i sankcyjnych przed umową, przed wypłatą i przy każdej aktualizacji list.</w:t>
      </w:r>
    </w:p>
    <w:p>
      <w:pPr>
        <w:pStyle w:val="BodyText"/>
      </w:pPr>
      <w:r>
        <w:rPr>
          <w:bCs/>
          <w:b/>
        </w:rPr>
        <w:t xml:space="preserve">§ 18. PEP (art. 46 Ustawy).</w:t>
      </w:r>
    </w:p>
    <w:p>
      <w:pPr>
        <w:numPr>
          <w:ilvl w:val="0"/>
          <w:numId w:val="1005"/>
        </w:numPr>
        <w:pStyle w:val="Compact"/>
      </w:pPr>
      <w:r>
        <w:t xml:space="preserve">Status PEP ustala się na podstawie oświadczenia (Załącznik 3) oraz bazy screeningowej [nazwa dostawcy / wykaz PEP].</w:t>
      </w:r>
    </w:p>
    <w:p>
      <w:pPr>
        <w:numPr>
          <w:ilvl w:val="0"/>
          <w:numId w:val="1005"/>
        </w:numPr>
        <w:pStyle w:val="Compact"/>
      </w:pPr>
      <w:r>
        <w:t xml:space="preserve">Relację z PEP zatwierdza Członek Zarządu ds. AML.</w:t>
      </w:r>
    </w:p>
    <w:p>
      <w:pPr>
        <w:numPr>
          <w:ilvl w:val="0"/>
          <w:numId w:val="1005"/>
        </w:numPr>
        <w:pStyle w:val="Compact"/>
      </w:pPr>
      <w:r>
        <w:t xml:space="preserve">Spółka ustala źródło majątku i źródło środków PEP oraz stosuje wzmożony monitoring.</w:t>
      </w:r>
    </w:p>
    <w:p>
      <w:pPr>
        <w:numPr>
          <w:ilvl w:val="0"/>
          <w:numId w:val="1005"/>
        </w:numPr>
        <w:pStyle w:val="Compact"/>
      </w:pPr>
      <w:r>
        <w:t xml:space="preserve">Status PEP sprawdza się także przez 12 miesięcy po zakończeniu pełnienia funkcji.</w:t>
      </w:r>
    </w:p>
    <w:p>
      <w:pPr>
        <w:pStyle w:val="FirstParagraph"/>
      </w:pPr>
      <w:r>
        <w:rPr>
          <w:bCs/>
          <w:b/>
        </w:rPr>
        <w:t xml:space="preserve">§ 19. Sankcje i zamrożenie wartości majątkowych (art. 117–118 Ustawy).</w:t>
      </w:r>
    </w:p>
    <w:p>
      <w:pPr>
        <w:numPr>
          <w:ilvl w:val="0"/>
          <w:numId w:val="1006"/>
        </w:numPr>
        <w:pStyle w:val="Compact"/>
      </w:pPr>
      <w:r>
        <w:t xml:space="preserve">Sprawdzane listy: skonsolidowana lista sankcyjna UE, listy Rady Bezpieczeństwa ONZ, lista MSWiA prowadzona na podstawie ustawy z 13 kwietnia 2022 r., lista GIIF osób i podmiotów (art. 118 Ustawy).</w:t>
      </w:r>
    </w:p>
    <w:p>
      <w:pPr>
        <w:numPr>
          <w:ilvl w:val="0"/>
          <w:numId w:val="1006"/>
        </w:numPr>
        <w:pStyle w:val="Compact"/>
      </w:pPr>
      <w:r>
        <w:t xml:space="preserve">Screening przeprowadza się przed umową, przed każdą wypłatą transzy oraz automatycznie co [24 godziny / tydzień] dla całego portfela.</w:t>
      </w:r>
    </w:p>
    <w:p>
      <w:pPr>
        <w:numPr>
          <w:ilvl w:val="0"/>
          <w:numId w:val="1006"/>
        </w:numPr>
        <w:pStyle w:val="Compact"/>
      </w:pPr>
      <w:r>
        <w:t xml:space="preserve">Trafienie potencjalne: wstrzymanie czynności, wyjaśnienie przez AML Officera w ciągu 1 dnia roboczego, dokumentacja wyniku.</w:t>
      </w:r>
    </w:p>
    <w:p>
      <w:pPr>
        <w:numPr>
          <w:ilvl w:val="0"/>
          <w:numId w:val="1006"/>
        </w:numPr>
        <w:pStyle w:val="Compact"/>
      </w:pPr>
      <w:r>
        <w:t xml:space="preserve">Trafienie potwierdzone: niezwłoczne zamrożenie środków, brak udostępniania jakichkolwiek środków, zawiadomienie GIIF; dla list MSWiA – także właściwych organów wskazanych w ustawie z 2022 r.</w:t>
      </w:r>
    </w:p>
    <w:p>
      <w:pPr>
        <w:numPr>
          <w:ilvl w:val="0"/>
          <w:numId w:val="1006"/>
        </w:numPr>
        <w:pStyle w:val="Compact"/>
      </w:pPr>
      <w:r>
        <w:t xml:space="preserve">Ochrona przed obchodzeniem sankcji: badanie, czy podmiot nie jest własnością ani nie jest kontrolowany przez osobę z listy (próg 50% według wytycznych KE).</w:t>
      </w:r>
    </w:p>
    <w:p>
      <w:pPr>
        <w:pStyle w:val="FirstParagraph"/>
      </w:pPr>
      <w:r>
        <w:rPr>
          <w:bCs/>
          <w:b/>
        </w:rPr>
        <w:t xml:space="preserve">§ 20. Państwa wysokiego ryzyka.</w:t>
      </w:r>
      <w:r>
        <w:t xml:space="preserve"> </w:t>
      </w:r>
      <w:r>
        <w:t xml:space="preserve">Spółka stosuje wzmożone ŚBF wobec Klientów i BR powiązanych z państwami z rozporządzenia delegowanego KE wydanego na podstawie art. 9 dyrektywy 2015/849 oraz z list FATF („black list” i „grey list”). Listy weryfikuje AML Officer po każdym posiedzeniu plenarnym FATF.</w:t>
      </w:r>
    </w:p>
    <w:bookmarkEnd w:id="25"/>
    <w:bookmarkStart w:id="26" w:name="sygnały-ostrzegawcze"/>
    <w:p>
      <w:pPr>
        <w:pStyle w:val="Heading2"/>
      </w:pPr>
      <w:r>
        <w:t xml:space="preserve">6. Sygnały ostrzegawcze</w:t>
      </w:r>
    </w:p>
    <w:p>
      <w:pPr>
        <w:pStyle w:val="FirstParagraph"/>
      </w:pPr>
      <w:r>
        <w:t xml:space="preserve">Wystąpienie sygnału nie przesądza o praniu pieniędzy, ale obliguje pracownika do zgłoszenia go AML Officerowi tego samego dnia (Formularz – Załącznik 4).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Etap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Sygnał ostrzegawczy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Wniosek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Klient nie zna szczegółów własnej działalności; rozmowę prowadzi osoba niebędąca reprezentantem ani 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Wniosek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Nacisk na szybkość przy braku zainteresowania kosztem pożyczki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Wniosek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Spółka nowo zarejestrowana lub kupiona tuż przed złożeniem wniosku; zarząd z „podstawionych” osób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Wniosek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Cel pożyczki niespójny z przedmiotem działalności i skalą obrotów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Zabezpieczenie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Nieruchomość osoby niepowiązanej z Klientem, bez logicznego uzasadnienia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Zabezpieczenie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Nieruchomość nabyta niedawno, po cenie odbiegającej od rynkowej, lub wielokrotnie zbywana w krótkim czasie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Zabezpieczenie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Wpisy w KW wskazujące na postępowania karne, zajęcia lub zabezpieczenia prokuratorskie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Wypłata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Prośba o wypłatę na rachunek osoby trzeciej, w innym kraju lub podzieloną na wiele rachunków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Spłata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Szybka, przedterminowa spłata całości z niejasnego źródła, zwłaszcza tuż po wypłacie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Spłata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Spłaty od osób trzecich, z wielu rachunków, z rachunków zagranicznych lub kantorów kryptoaktywów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Spłata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Nadpłata i prośba o zwrot na inny rachunek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Windykacja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Spłata zaległości przez podmiot niepowiązany, propozycja rozliczenia gotówką, nagłe pojawienie się środków po długim braku płatności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Ogólne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Odmowa przedstawienia dokumentów, dokumenty noszące ślady przerobienia, rozbieżne dane w różnych dokumentach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Ogólne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Klient pyta o progi raportowania lub próbuje strukturyzować płatności</w:t>
            </w:r>
          </w:p>
        </w:tc>
      </w:tr>
    </w:tbl>
    <w:p>
      <w:pPr>
        <w:pStyle w:val="BodyText"/>
      </w:pPr>
      <w:r>
        <w:t xml:space="preserve">[Uzupełnić o sygnały wskazane w aktualnej krajowej ocenie ryzyka GIIF dla sektora pożyczkowego i nieruchomości.]</w:t>
      </w:r>
    </w:p>
    <w:bookmarkEnd w:id="26"/>
    <w:bookmarkStart w:id="27" w:name="X2069ee2e76a88fdca71a2ef5169dd4bf25f0bbc"/>
    <w:p>
      <w:pPr>
        <w:pStyle w:val="Heading2"/>
      </w:pPr>
      <w:r>
        <w:t xml:space="preserve">7. Zawiadomienia, wstrzymanie transakcji, zakaz ujawniania</w:t>
      </w:r>
    </w:p>
    <w:p>
      <w:pPr>
        <w:pStyle w:val="FirstParagraph"/>
      </w:pPr>
      <w:r>
        <w:t xml:space="preserve">Decyzję o zawiadomieniu GIIF podejmuje AML Officer; zawiadomienia wysyła się wyłącznie przez system teleinformatyczny GIIF z konta Spółki.</w:t>
      </w:r>
    </w:p>
    <w:p>
      <w:pPr>
        <w:pStyle w:val="BodyText"/>
      </w:pPr>
      <w:r>
        <w:rPr>
          <w:bCs/>
          <w:b/>
        </w:rPr>
        <w:t xml:space="preserve">§ 21. Ścieżka postępowania.</w:t>
      </w:r>
    </w:p>
    <w:p>
      <w:pPr>
        <w:numPr>
          <w:ilvl w:val="0"/>
          <w:numId w:val="1007"/>
        </w:numPr>
        <w:pStyle w:val="Compact"/>
      </w:pPr>
      <w:r>
        <w:t xml:space="preserve">Pracownik zgłasza sygnał AML Officerowi (Załącznik 4) i nie podejmuje dalszych czynności w sprawie bez jego zgody.</w:t>
      </w:r>
    </w:p>
    <w:p>
      <w:pPr>
        <w:numPr>
          <w:ilvl w:val="0"/>
          <w:numId w:val="1007"/>
        </w:numPr>
        <w:pStyle w:val="Compact"/>
      </w:pPr>
      <w:r>
        <w:t xml:space="preserve">AML Officer analizuje dokumenty, historię Klienta i spłat; może żądać wyjaśnień od Klienta, nie ujawniając celu.</w:t>
      </w:r>
    </w:p>
    <w:p>
      <w:pPr>
        <w:numPr>
          <w:ilvl w:val="0"/>
          <w:numId w:val="1007"/>
        </w:numPr>
        <w:pStyle w:val="Compact"/>
      </w:pPr>
      <w:r>
        <w:t xml:space="preserve">AML Officer kwalifikuje sprawę: brak podstaw (uzasadnienie w Rejestrze) albo zawiadomienie.</w:t>
      </w:r>
    </w:p>
    <w:p>
      <w:pPr>
        <w:numPr>
          <w:ilvl w:val="0"/>
          <w:numId w:val="1007"/>
        </w:numPr>
        <w:pStyle w:val="Compact"/>
      </w:pPr>
      <w:r>
        <w:t xml:space="preserve">Przy podejrzeniu dotyczącym transakcji jeszcze niezrealizowanej (np. wypłata, zwrot nadpłaty) Spółka wstrzymuje transakcję i zawiadamia GIIF przed jej przeprowadzeniem.</w:t>
      </w:r>
    </w:p>
    <w:p>
      <w:pPr>
        <w:numPr>
          <w:ilvl w:val="0"/>
          <w:numId w:val="1007"/>
        </w:numPr>
        <w:pStyle w:val="Compact"/>
      </w:pPr>
      <w:r>
        <w:t xml:space="preserve">Po zawiadomieniu AML Officer ustala z Członkiem Zarządu ds. AML dalsze losy relacji i aktualizuje ocenę ryzyka Klienta.</w:t>
      </w:r>
    </w:p>
    <w:p>
      <w:pPr>
        <w:pStyle w:val="FirstParagraph"/>
      </w:pPr>
      <w:r>
        <w:rPr>
          <w:bCs/>
          <w:b/>
        </w:rPr>
        <w:t xml:space="preserve">§ 22. Terminy.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Zdarzenie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Adresat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Termin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Podstawa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Okoliczności mogące wskazywać na podejrzenie prania pieniędzy lub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Niezwłocznie, nie później niż 2 dni robocze od potwierdzenia podejrzenia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art. 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Uzasadnione podejrzenie co do konkretnej transakcji przed jej przeprowadzeniem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Przed przeprowadzeniem transakcji; transakcję wstrzymuje się do otrzymania stanowiska GIIF lub upływu terminu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art. 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Żądanie GIIF wstrzymania transakcji / blokady rachunku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Wstrzymanie do 96 godzin od potwierdzenia przyjęcia zawiadomienia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art. 86–87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Uzasadnione podejrzenie popełnienia przestępstwa prania pieniędzy lub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Prokurator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Niezwłocznie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art. 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Trafienie na liście sankcyjnej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Niezwłocznie po zamrożeniu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art. 117–118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Rozbieżność z CRBR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Niezwłocznie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art. 61a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Wpłata lub wypłata gotówki powyżej 15 000 EUR [jeśli dopuszczona]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7 dni od transakcji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art. 72</w:t>
            </w:r>
          </w:p>
        </w:tc>
      </w:tr>
    </w:tbl>
    <w:p>
      <w:pPr>
        <w:pStyle w:val="BodyText"/>
      </w:pPr>
      <w:r>
        <w:rPr>
          <w:bCs/>
          <w:b/>
        </w:rPr>
        <w:t xml:space="preserve">§ 23. Zakaz ujawniania (art. 54 Ustawy).</w:t>
      </w:r>
      <w:r>
        <w:t xml:space="preserve"> </w:t>
      </w:r>
      <w:r>
        <w:t xml:space="preserve">Nikt w Spółce nie informuje Klienta, BR ani osób trzecich o zawiadomieniu, analizie ani postępowaniu GIIF. Komunikacja z Klientem przy wstrzymaniu ogranicza się do neutralnego „trwa weryfikacja dokumentów”.</w:t>
      </w:r>
    </w:p>
    <w:p>
      <w:pPr>
        <w:pStyle w:val="BodyText"/>
      </w:pPr>
      <w:r>
        <w:rPr>
          <w:bCs/>
          <w:b/>
        </w:rPr>
        <w:t xml:space="preserve">§ 24. Ochrona zgłaszających.</w:t>
      </w:r>
      <w:r>
        <w:t xml:space="preserve"> </w:t>
      </w:r>
      <w:r>
        <w:t xml:space="preserve">Pracownik, który w dobrej wierze zgłosił podejrzenie, nie ponosi z tego tytułu odpowiedzialności dyscyplinarnej ani cywilnej. Dane zgłaszającego zna wyłącznie AML Officer.</w:t>
      </w:r>
    </w:p>
    <w:bookmarkEnd w:id="27"/>
    <w:bookmarkStart w:id="28" w:name="dokumentacja-i-przechowywanie"/>
    <w:p>
      <w:pPr>
        <w:pStyle w:val="Heading2"/>
      </w:pPr>
      <w:r>
        <w:t xml:space="preserve">8. Dokumentacja i przechowywanie</w:t>
      </w:r>
    </w:p>
    <w:p>
      <w:pPr>
        <w:pStyle w:val="FirstParagraph"/>
      </w:pPr>
      <w:r>
        <w:t xml:space="preserve">Wszystkie dokumenty AML przechowuje się przez 5 lat od zakończenia relacji z Klientem (art. 49 Ustawy), w formie umożliwiającej ich odtworzenie na żądanie GIIF.</w:t>
      </w:r>
    </w:p>
    <w:p>
      <w:pPr>
        <w:pStyle w:val="BodyText"/>
      </w:pPr>
      <w:r>
        <w:rPr>
          <w:bCs/>
          <w:b/>
        </w:rPr>
        <w:t xml:space="preserve">§ 25. Co się przechowuje.</w:t>
      </w:r>
    </w:p>
    <w:p>
      <w:pPr>
        <w:numPr>
          <w:ilvl w:val="0"/>
          <w:numId w:val="1008"/>
        </w:numPr>
        <w:pStyle w:val="Compact"/>
      </w:pPr>
      <w:r>
        <w:t xml:space="preserve">Karta Klienta i Karta Oceny Ryzyka (z historią zmian)</w:t>
      </w:r>
    </w:p>
    <w:p>
      <w:pPr>
        <w:numPr>
          <w:ilvl w:val="0"/>
          <w:numId w:val="1008"/>
        </w:numPr>
        <w:pStyle w:val="Compact"/>
      </w:pPr>
      <w:r>
        <w:t xml:space="preserve">kopie dokumentów tożsamości i rejestrowych, wydruki z CRBR, oświadczenia o BR i PEP</w:t>
      </w:r>
    </w:p>
    <w:p>
      <w:pPr>
        <w:numPr>
          <w:ilvl w:val="0"/>
          <w:numId w:val="1008"/>
        </w:numPr>
        <w:pStyle w:val="Compact"/>
      </w:pPr>
      <w:r>
        <w:t xml:space="preserve">wyniki screeningu sankcyjnego i PEP wraz z rozstrzygnięciem trafień</w:t>
      </w:r>
    </w:p>
    <w:p>
      <w:pPr>
        <w:numPr>
          <w:ilvl w:val="0"/>
          <w:numId w:val="1008"/>
        </w:numPr>
        <w:pStyle w:val="Compact"/>
      </w:pPr>
      <w:r>
        <w:t xml:space="preserve">dokumenty źródła środków i majątku</w:t>
      </w:r>
    </w:p>
    <w:p>
      <w:pPr>
        <w:numPr>
          <w:ilvl w:val="0"/>
          <w:numId w:val="1008"/>
        </w:numPr>
        <w:pStyle w:val="Compact"/>
      </w:pPr>
      <w:r>
        <w:t xml:space="preserve">zgłoszenia wewnętrzne, analizy AML Officera, kopie zawiadomień GIIF i prokuratury</w:t>
      </w:r>
    </w:p>
    <w:p>
      <w:pPr>
        <w:numPr>
          <w:ilvl w:val="0"/>
          <w:numId w:val="1008"/>
        </w:numPr>
        <w:pStyle w:val="Compact"/>
      </w:pPr>
      <w:r>
        <w:t xml:space="preserve">dokumentacja odmów i rozwiązań relacji</w:t>
      </w:r>
    </w:p>
    <w:p>
      <w:pPr>
        <w:pStyle w:val="FirstParagraph"/>
      </w:pPr>
      <w:r>
        <w:rPr>
          <w:bCs/>
          <w:b/>
        </w:rPr>
        <w:t xml:space="preserve">§ 26. Rejestry prowadzone przez AML Officera.</w:t>
      </w:r>
      <w:r>
        <w:t xml:space="preserve"> </w:t>
      </w:r>
      <w:r>
        <w:t xml:space="preserve">Rejestr zgłoszeń wewnętrznych, Rejestr zawiadomień GIIF, Rejestr odmów, Rejestr szkoleń. Dostęp do Rejestru zawiadomień mają wyłącznie AML Officer, jego zastępca i Członek Zarządu ds. AML.</w:t>
      </w:r>
    </w:p>
    <w:p>
      <w:pPr>
        <w:pStyle w:val="BodyText"/>
      </w:pPr>
      <w:r>
        <w:rPr>
          <w:bCs/>
          <w:b/>
        </w:rPr>
        <w:t xml:space="preserve">§ 27. Ochrona danych.</w:t>
      </w:r>
      <w:r>
        <w:t xml:space="preserve"> </w:t>
      </w:r>
      <w:r>
        <w:t xml:space="preserve">Dane przetwarza się na podstawie art. 6 ust. 1 lit. c RODO w celu wykonania obowiązków z Ustawy. Klient otrzymuje klauzulę informacyjną AML (Załącznik 5). Po upływie okresu przechowywania dane usuwa się, chyba że GIIF lub prokurator zażądał ich dłuższego przechowania (maksymalnie o kolejne 5 lat).</w:t>
      </w:r>
    </w:p>
    <w:bookmarkEnd w:id="28"/>
    <w:bookmarkStart w:id="29" w:name="Xbde3c778539998528c00eddc5fe5fd0be7ac86e"/>
    <w:p>
      <w:pPr>
        <w:pStyle w:val="Heading2"/>
      </w:pPr>
      <w:r>
        <w:t xml:space="preserve">9. Szkolenia, zgłaszanie naruszeń, kontrola i przegląd</w:t>
      </w:r>
    </w:p>
    <w:p>
      <w:pPr>
        <w:pStyle w:val="FirstParagraph"/>
      </w:pPr>
      <w:r>
        <w:rPr>
          <w:bCs/>
          <w:b/>
        </w:rPr>
        <w:t xml:space="preserve">§ 28. Szkolenia (art. 52 Ustawy).</w:t>
      </w:r>
      <w:r>
        <w:t xml:space="preserve"> </w:t>
      </w:r>
      <w:r>
        <w:t xml:space="preserve">Każda osoba z rozdz. 2 przechodzi szkolenie AML przed rozpoczęciem pracy z Klientami, a następnie co najmniej raz w roku. Szkolenie obejmuje tę Procedurę, sygnały z rozdz. 6 i aktualne typologie GIIF. Uczestnictwo potwierdza się podpisem i testem; wyniki trafiają do Rejestru szkoleń.</w:t>
      </w:r>
    </w:p>
    <w:p>
      <w:pPr>
        <w:pStyle w:val="BodyText"/>
      </w:pPr>
      <w:r>
        <w:rPr>
          <w:bCs/>
          <w:b/>
        </w:rPr>
        <w:t xml:space="preserve">§ 29. Anonimowe zgłaszanie naruszeń (art. 53 Ustawy).</w:t>
      </w:r>
      <w:r>
        <w:t xml:space="preserve"> </w:t>
      </w:r>
      <w:r>
        <w:t xml:space="preserve">Pracownicy mogą anonimowo zgłaszać naruszenia przepisów AML kanałem [adres e-mail / formularz]. Zgłoszenia rozpatruje Członek Zarządu ds. AML, a gdy dotyczą jego osoby – [inny członek Zarządu]. Procedurę stosuje się łącznie z regulaminem zgłoszeń wewnętrznych wynikającym z ustawy o ochronie sygnalistów.</w:t>
      </w:r>
    </w:p>
    <w:p>
      <w:pPr>
        <w:pStyle w:val="BodyText"/>
      </w:pPr>
      <w:r>
        <w:rPr>
          <w:bCs/>
          <w:b/>
        </w:rPr>
        <w:t xml:space="preserve">§ 30. Kontrola wewnętrzna.</w:t>
      </w:r>
      <w:r>
        <w:t xml:space="preserve"> </w:t>
      </w:r>
      <w:r>
        <w:t xml:space="preserve">AML Officer co kwartał wykonuje przegląd próbki co najmniej [10%] nowych umów pod kątem kompletności ŚBF i co pół roku przegląd portfela pod kątem sankcji i PEP. Raz w roku przedstawia Zarządowi pisemny raport: liczba Klientów wg kategorii ryzyka, liczba zgłoszeń i zawiadomień, wyniki kontroli, potrzeby zmian.</w:t>
      </w:r>
    </w:p>
    <w:p>
      <w:pPr>
        <w:pStyle w:val="BodyText"/>
      </w:pPr>
      <w:r>
        <w:rPr>
          <w:bCs/>
          <w:b/>
        </w:rPr>
        <w:t xml:space="preserve">§ 31. Przegląd Procedury.</w:t>
      </w:r>
      <w:r>
        <w:t xml:space="preserve"> </w:t>
      </w:r>
      <w:r>
        <w:t xml:space="preserve">Procedurę przegląda się co najmniej raz w roku oraz niezwłocznie po: zmianie przepisów, aktualizacji Oceny Ryzyka Instytucji, kontroli GIIF lub innego organu, wprowadzeniu nowego produktu lub kanału. Przed 10 lipca 2027 r. Procedurę dostosowuje się do rozporządzenia AMLR.</w:t>
      </w:r>
    </w:p>
    <w:p>
      <w:pPr>
        <w:pStyle w:val="BodyText"/>
      </w:pPr>
      <w:r>
        <w:rPr>
          <w:bCs/>
          <w:b/>
        </w:rPr>
        <w:t xml:space="preserve">§ 32. Odpowiedzialność.</w:t>
      </w:r>
      <w:r>
        <w:t xml:space="preserve"> </w:t>
      </w:r>
      <w:r>
        <w:t xml:space="preserve">Naruszenie Procedury stanowi ciężkie naruszenie obowiązków pracowniczych lub umownych. Spółce za naruszenia Ustawy grożą kary administracyjne nakładane przez GIIF.</w:t>
      </w:r>
    </w:p>
    <w:bookmarkEnd w:id="29"/>
    <w:bookmarkStart w:id="30" w:name="załączniki"/>
    <w:p>
      <w:pPr>
        <w:pStyle w:val="Heading2"/>
      </w:pPr>
      <w:r>
        <w:t xml:space="preserve">10. Załączniki</w:t>
      </w:r>
    </w:p>
    <w:p>
      <w:pPr>
        <w:pStyle w:val="FirstParagraph"/>
      </w:pPr>
      <w:r>
        <w:rPr>
          <w:bCs/>
          <w:b/>
        </w:rPr>
        <w:t xml:space="preserve">Załącznik 1 – Checklista ŚBF przed wypłatą pożyczki</w:t>
      </w:r>
    </w:p>
    <w:p>
      <w:pPr>
        <w:numPr>
          <w:ilvl w:val="0"/>
          <w:numId w:val="1009"/>
        </w:numPr>
        <w:pStyle w:val="Compact"/>
      </w:pPr>
      <w:r>
        <w:t xml:space="preserve">☐ Odpis KRS / CEIDG pobrany przez Spółkę, data: [●]</w:t>
      </w:r>
    </w:p>
    <w:p>
      <w:pPr>
        <w:numPr>
          <w:ilvl w:val="0"/>
          <w:numId w:val="1009"/>
        </w:numPr>
        <w:pStyle w:val="Compact"/>
      </w:pPr>
      <w:r>
        <w:t xml:space="preserve">☐ Dokument tożsamości osób reprezentujących zweryfikowany (osobiście / zdalnie)</w:t>
      </w:r>
    </w:p>
    <w:p>
      <w:pPr>
        <w:numPr>
          <w:ilvl w:val="0"/>
          <w:numId w:val="1009"/>
        </w:numPr>
        <w:pStyle w:val="Compact"/>
      </w:pPr>
      <w:r>
        <w:t xml:space="preserve">☐ Pełnomocnictwo zweryfikowane (jeśli dotyczy)</w:t>
      </w:r>
    </w:p>
    <w:p>
      <w:pPr>
        <w:numPr>
          <w:ilvl w:val="0"/>
          <w:numId w:val="1009"/>
        </w:numPr>
        <w:pStyle w:val="Compact"/>
      </w:pPr>
      <w:r>
        <w:t xml:space="preserve">☐ Oświadczenie o BR + wydruk CRBR; rozbieżności: brak / zgłoszone</w:t>
      </w:r>
    </w:p>
    <w:p>
      <w:pPr>
        <w:numPr>
          <w:ilvl w:val="0"/>
          <w:numId w:val="1009"/>
        </w:numPr>
        <w:pStyle w:val="Compact"/>
      </w:pPr>
      <w:r>
        <w:t xml:space="preserve">☐ Struktura własności rozpisana do osób fizycznych</w:t>
      </w:r>
    </w:p>
    <w:p>
      <w:pPr>
        <w:numPr>
          <w:ilvl w:val="0"/>
          <w:numId w:val="1009"/>
        </w:numPr>
        <w:pStyle w:val="Compact"/>
      </w:pPr>
      <w:r>
        <w:t xml:space="preserve">☐ Screening sankcyjny i PEP: Klient, reprezentanci, BR, poręczyciele, właściciel nieruchomości</w:t>
      </w:r>
    </w:p>
    <w:p>
      <w:pPr>
        <w:numPr>
          <w:ilvl w:val="0"/>
          <w:numId w:val="1009"/>
        </w:numPr>
        <w:pStyle w:val="Compact"/>
      </w:pPr>
      <w:r>
        <w:t xml:space="preserve">☐ Cel pożyczki i źródło spłaty udokumentowane</w:t>
      </w:r>
    </w:p>
    <w:p>
      <w:pPr>
        <w:numPr>
          <w:ilvl w:val="0"/>
          <w:numId w:val="1009"/>
        </w:numPr>
        <w:pStyle w:val="Compact"/>
      </w:pPr>
      <w:r>
        <w:t xml:space="preserve">☐ Źródło wkładu własnego / środków udokumentowane (jeśli dotyczy)</w:t>
      </w:r>
    </w:p>
    <w:p>
      <w:pPr>
        <w:numPr>
          <w:ilvl w:val="0"/>
          <w:numId w:val="1009"/>
        </w:numPr>
        <w:pStyle w:val="Compact"/>
      </w:pPr>
      <w:r>
        <w:t xml:space="preserve">☐ Karta Oceny Ryzyka wypełniona; kategoria: [●]</w:t>
      </w:r>
    </w:p>
    <w:p>
      <w:pPr>
        <w:numPr>
          <w:ilvl w:val="0"/>
          <w:numId w:val="1009"/>
        </w:numPr>
        <w:pStyle w:val="Compact"/>
      </w:pPr>
      <w:r>
        <w:t xml:space="preserve">☐ Akceptacja zgodnie z § 9 (analityk / AML Officer / Członek Zarządu)</w:t>
      </w:r>
    </w:p>
    <w:p>
      <w:pPr>
        <w:numPr>
          <w:ilvl w:val="0"/>
          <w:numId w:val="1009"/>
        </w:numPr>
        <w:pStyle w:val="Compact"/>
      </w:pPr>
      <w:r>
        <w:t xml:space="preserve">☐ Rachunek do wypłaty należy do Klienta (biała lista VAT)</w:t>
      </w:r>
    </w:p>
    <w:p>
      <w:pPr>
        <w:pStyle w:val="FirstParagraph"/>
      </w:pPr>
      <w:r>
        <w:rPr>
          <w:bCs/>
          <w:b/>
        </w:rPr>
        <w:t xml:space="preserve">Załącznik 2 – Karta Oceny Ryzyka Klienta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Czynnik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Punkty (1–3)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Uzasadnienie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Forma i historia Klienta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Struktura własności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Branża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Geografia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Cel pożyczki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Zabezpieczenie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Kanał pozyskania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PEP / sankcje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Suma / kategoria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Data oceny: [●] · Oceniający: [●] · Zatwierdzający: [●] · Następny przegląd: [●]</w:t>
      </w:r>
    </w:p>
    <w:p>
      <w:pPr>
        <w:pStyle w:val="BodyText"/>
      </w:pPr>
      <w:r>
        <w:rPr>
          <w:bCs/>
          <w:b/>
        </w:rPr>
        <w:t xml:space="preserve">Załącznik 3 – Oświadczenie Klienta o beneficjencie rzeczywistym, statusie PEP i źródle środków</w:t>
      </w:r>
    </w:p>
    <w:p>
      <w:pPr>
        <w:pStyle w:val="BodyText"/>
      </w:pPr>
      <w:r>
        <w:t xml:space="preserve">Oświadczam, że beneficjentem rzeczywistym [nazwa Klienta] jest/są: [imię, nazwisko, PESEL/data urodzenia, obywatelstwo, sposób i zakres kontroli]. Oświadczam, że [jestem / nie jestem] osobą zajmującą eksponowane stanowisko polityczne, członkiem rodziny takiej osoby ani jej bliskim współpracownikiem. Środki na spłatę pożyczki będą pochodzić z: [●]. Zobowiązuję się niezwłocznie informować o zmianie powyższych danych. Jestem świadomy odpowiedzialności karnej za złożenie fałszywego oświadczenia.</w:t>
      </w:r>
    </w:p>
    <w:p>
      <w:pPr>
        <w:pStyle w:val="BodyText"/>
      </w:pPr>
      <w:r>
        <w:rPr>
          <w:bCs/>
          <w:b/>
        </w:rPr>
        <w:t xml:space="preserve">Załącznik 4 – Formularz zgłoszenia wewnętrznego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Pole</w:t>
            </w:r>
          </w:p>
        </w:tc>
        <w:tc>
          <w:tcPr>
            <w:shd w:val="clear" w:fill="E8EEF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Treść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 i godzina zgłoszenia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Zgłaszający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Klient / nr umowy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Opis zdarzenia i sygnału (rozdz. 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Kwota i rodzaj transakcji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Czy transakcja jest w toku?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tak / 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Załączone dokumenty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Decyzja AML Officera i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brak podstaw / zawiadomienie GIIF (art. 74 / 86) / prokurator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Załącznik 5 – Klauzula informacyjna AML</w:t>
      </w:r>
      <w:r>
        <w:t xml:space="preserve"> </w:t>
      </w:r>
      <w:r>
        <w:t xml:space="preserve">[do uzupełnienia przez IOD lub prawnika – administrator, cel i podstawa przetwarzania, okres przechowywania 5 lat, ograniczenie praw osoby z art. 15 RODO wynikające z Ustawy].</w:t>
      </w:r>
    </w:p>
    <w:p>
      <w:pPr>
        <w:pStyle w:val="BodyText"/>
      </w:pPr>
      <w:r>
        <w:rPr>
          <w:bCs/>
          <w:b/>
        </w:rPr>
        <w:t xml:space="preserve">Załącznik 6 – Oświadczenie pracownika o zapoznaniu się z Procedurą</w:t>
      </w:r>
    </w:p>
    <w:p>
      <w:pPr>
        <w:pStyle w:val="BodyText"/>
      </w:pPr>
      <w:r>
        <w:t xml:space="preserve">Oświadczam, że zapoznałem/am się z Procedurą wewnętrzną AML/CFT w wersji [●] i zobowiązuję się do jej przestrzegania.</w:t>
      </w:r>
    </w:p>
    <w:p>
      <w:pPr>
        <w:pStyle w:val="BodyText"/>
      </w:pPr>
      <w:r>
        <w:t xml:space="preserve">Imię i nazwisko: ____________ · Stanowisko: ____________ · Data: ____________ · Podpis: ____________</w:t>
      </w:r>
    </w:p>
    <w:bookmarkEnd w:id="30"/>
    <w:bookmarkEnd w:id="31"/>
    <w:sect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  <w:rPr>
      <w:rFonts w:ascii="Calibri" w:hAnsi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/>
    </w:rPr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  <w:rPr>
      <w:rFonts w:ascii="Calibri" w:hAnsi="Calibri"/>
    </w:rPr>
  </w:style>
  <w:style w:styleId="FootnoteReference" w:type="character">
    <w:name w:val="Footnote Reference"/>
    <w:basedOn w:val="BodyTextChar"/>
    <w:rPr>
      <w:rFonts w:ascii="Calibri" w:hAnsi="Calibri"/>
      <w:vertAlign w:val="superscript"/>
    </w:rPr>
  </w:style>
  <w:style w:styleId="Hyperlink" w:type="character">
    <w:name w:val="Hyperlink"/>
    <w:basedOn w:val="BodyTextChar"/>
    <w:rPr>
      <w:rFonts w:ascii="Calibr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/>
    </w:rPr>
  </w:style>
  <w:style w:type="character" w:customStyle="1" w:styleId="KeywordTok">
    <w:name w:val="KeywordTok"/>
    <w:basedOn w:val="VerbatimChar"/>
    <w:rPr>
      <w:color w:val="007020"/>
      <w:rFonts w:ascii="Calibri" w:hAnsi="Calibri"/>
      <w:b/>
    </w:rPr>
  </w:style>
  <w:style w:type="character" w:customStyle="1" w:styleId="DataTypeTok">
    <w:name w:val="DataTypeTok"/>
    <w:basedOn w:val="VerbatimChar"/>
    <w:rPr>
      <w:rFonts w:ascii="Calibri" w:hAnsi="Calibri"/>
      <w:color w:val="902000"/>
    </w:rPr>
  </w:style>
  <w:style w:type="character" w:customStyle="1" w:styleId="DecValTok">
    <w:name w:val="DecValTok"/>
    <w:basedOn w:val="VerbatimChar"/>
    <w:rPr>
      <w:rFonts w:ascii="Calibri" w:hAnsi="Calibri"/>
      <w:color w:val="40a070"/>
    </w:rPr>
  </w:style>
  <w:style w:type="character" w:customStyle="1" w:styleId="BaseNTok">
    <w:name w:val="BaseNTok"/>
    <w:basedOn w:val="VerbatimChar"/>
    <w:rPr>
      <w:rFonts w:ascii="Calibri" w:hAnsi="Calibri"/>
      <w:color w:val="40a070"/>
    </w:rPr>
  </w:style>
  <w:style w:type="character" w:customStyle="1" w:styleId="FloatTok">
    <w:name w:val="FloatTok"/>
    <w:basedOn w:val="VerbatimChar"/>
    <w:rPr>
      <w:rFonts w:ascii="Calibri" w:hAnsi="Calibri"/>
      <w:color w:val="40a070"/>
    </w:rPr>
  </w:style>
  <w:style w:type="character" w:customStyle="1" w:styleId="ConstantTok">
    <w:name w:val="ConstantTok"/>
    <w:basedOn w:val="VerbatimChar"/>
    <w:rPr>
      <w:rFonts w:ascii="Calibri" w:hAnsi="Calibri"/>
      <w:color w:val="880000"/>
    </w:rPr>
  </w:style>
  <w:style w:type="character" w:customStyle="1" w:styleId="CharTok">
    <w:name w:val="CharTok"/>
    <w:basedOn w:val="VerbatimChar"/>
    <w:rPr>
      <w:rFonts w:ascii="Calibri" w:hAnsi="Calibri"/>
      <w:color w:val="4070a0"/>
    </w:rPr>
  </w:style>
  <w:style w:type="character" w:customStyle="1" w:styleId="SpecialCharTok">
    <w:name w:val="SpecialCharTok"/>
    <w:basedOn w:val="VerbatimChar"/>
    <w:rPr>
      <w:rFonts w:ascii="Calibri" w:hAnsi="Calibri"/>
      <w:color w:val="4070a0"/>
    </w:rPr>
  </w:style>
  <w:style w:type="character" w:customStyle="1" w:styleId="StringTok">
    <w:name w:val="StringTok"/>
    <w:basedOn w:val="VerbatimChar"/>
    <w:rPr>
      <w:rFonts w:ascii="Calibri" w:hAnsi="Calibri"/>
      <w:color w:val="4070a0"/>
    </w:rPr>
  </w:style>
  <w:style w:type="character" w:customStyle="1" w:styleId="VerbatimStringTok">
    <w:name w:val="VerbatimStringTok"/>
    <w:basedOn w:val="VerbatimChar"/>
    <w:rPr>
      <w:rFonts w:ascii="Calibri" w:hAnsi="Calibri"/>
      <w:color w:val="4070a0"/>
    </w:rPr>
  </w:style>
  <w:style w:type="character" w:customStyle="1" w:styleId="SpecialStringTok">
    <w:name w:val="SpecialStringTok"/>
    <w:basedOn w:val="VerbatimChar"/>
    <w:rPr>
      <w:rFonts w:ascii="Calibri" w:hAnsi="Calibri"/>
      <w:color w:val="bb6688"/>
    </w:rPr>
  </w:style>
  <w:style w:type="character" w:customStyle="1" w:styleId="ImportTok">
    <w:name w:val="ImportTok"/>
    <w:basedOn w:val="VerbatimChar"/>
    <w:rPr>
      <w:color w:val="008000"/>
      <w:rFonts w:ascii="Calibri" w:hAnsi="Calibri"/>
      <w:b/>
    </w:rPr>
  </w:style>
  <w:style w:type="character" w:customStyle="1" w:styleId="CommentTok">
    <w:name w:val="CommentTok"/>
    <w:basedOn w:val="VerbatimChar"/>
    <w:rPr>
      <w:color w:val="60a0b0"/>
      <w:rFonts w:ascii="Calibri" w:hAnsi="Calibri"/>
      <w:i/>
    </w:rPr>
  </w:style>
  <w:style w:type="character" w:customStyle="1" w:styleId="DocumentationTok">
    <w:name w:val="DocumentationTok"/>
    <w:basedOn w:val="VerbatimChar"/>
    <w:rPr>
      <w:color w:val="ba2121"/>
      <w:rFonts w:ascii="Calibri" w:hAnsi="Calibri"/>
      <w:i/>
    </w:rPr>
  </w:style>
  <w:style w:type="character" w:customStyle="1" w:styleId="AnnotationTok">
    <w:name w:val="AnnotationTok"/>
    <w:basedOn w:val="VerbatimChar"/>
    <w:rPr>
      <w:color w:val="60a0b0"/>
      <w:rFonts w:ascii="Calibri" w:hAnsi="Calibri"/>
      <w:b/>
      <w:i/>
    </w:rPr>
  </w:style>
  <w:style w:type="character" w:customStyle="1" w:styleId="CommentVarTok">
    <w:name w:val="CommentVarTok"/>
    <w:basedOn w:val="VerbatimChar"/>
    <w:rPr>
      <w:color w:val="60a0b0"/>
      <w:rFonts w:ascii="Calibri" w:hAnsi="Calibri"/>
      <w:b/>
      <w:i/>
    </w:rPr>
  </w:style>
  <w:style w:type="character" w:customStyle="1" w:styleId="OtherTok">
    <w:name w:val="OtherTok"/>
    <w:basedOn w:val="VerbatimChar"/>
    <w:rPr>
      <w:rFonts w:ascii="Calibri" w:hAnsi="Calibri"/>
      <w:color w:val="007020"/>
    </w:rPr>
  </w:style>
  <w:style w:type="character" w:customStyle="1" w:styleId="FunctionTok">
    <w:name w:val="FunctionTok"/>
    <w:basedOn w:val="VerbatimChar"/>
    <w:rPr>
      <w:rFonts w:ascii="Calibri" w:hAnsi="Calibri"/>
      <w:color w:val="06287e"/>
    </w:rPr>
  </w:style>
  <w:style w:type="character" w:customStyle="1" w:styleId="VariableTok">
    <w:name w:val="VariableTok"/>
    <w:basedOn w:val="VerbatimChar"/>
    <w:rPr>
      <w:rFonts w:ascii="Calibri" w:hAnsi="Calibr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Calibri" w:hAnsi="Calibri"/>
      <w:b/>
    </w:rPr>
  </w:style>
  <w:style w:type="character" w:customStyle="1" w:styleId="OperatorTok">
    <w:name w:val="OperatorTok"/>
    <w:basedOn w:val="VerbatimChar"/>
    <w:rPr>
      <w:rFonts w:ascii="Calibri" w:hAnsi="Calibri"/>
      <w:color w:val="666666"/>
    </w:rPr>
  </w:style>
  <w:style w:type="character" w:customStyle="1" w:styleId="BuiltInTok">
    <w:name w:val="BuiltInTok"/>
    <w:basedOn w:val="VerbatimChar"/>
    <w:rPr>
      <w:rFonts w:ascii="Calibri" w:hAnsi="Calibri"/>
      <w:color w:val="008000"/>
    </w:rPr>
  </w:style>
  <w:style w:type="character" w:customStyle="1" w:styleId="ExtensionTok">
    <w:name w:val="ExtensionTok"/>
    <w:basedOn w:val="VerbatimChar"/>
    <w:rPr>
      <w:rFonts w:ascii="Calibri" w:hAnsi="Calibri"/>
    </w:rPr>
  </w:style>
  <w:style w:type="character" w:customStyle="1" w:styleId="PreprocessorTok">
    <w:name w:val="PreprocessorTok"/>
    <w:basedOn w:val="VerbatimChar"/>
    <w:rPr>
      <w:rFonts w:ascii="Calibri" w:hAnsi="Calibri"/>
      <w:color w:val="bc7a00"/>
    </w:rPr>
  </w:style>
  <w:style w:type="character" w:customStyle="1" w:styleId="AttributeTok">
    <w:name w:val="AttributeTok"/>
    <w:basedOn w:val="VerbatimChar"/>
    <w:rPr>
      <w:rFonts w:ascii="Calibri" w:hAnsi="Calibri"/>
      <w:color w:val="7d9029"/>
    </w:rPr>
  </w:style>
  <w:style w:type="character" w:customStyle="1" w:styleId="RegionMarkerTok">
    <w:name w:val="RegionMarkerTok"/>
    <w:basedOn w:val="VerbatimChar"/>
    <w:rPr>
      <w:rFonts w:ascii="Calibri" w:hAnsi="Calibri"/>
    </w:rPr>
  </w:style>
  <w:style w:type="character" w:customStyle="1" w:styleId="InformationTok">
    <w:name w:val="InformationTok"/>
    <w:basedOn w:val="VerbatimChar"/>
    <w:rPr>
      <w:color w:val="60a0b0"/>
      <w:rFonts w:ascii="Calibri" w:hAnsi="Calibri"/>
      <w:b/>
      <w:i/>
    </w:rPr>
  </w:style>
  <w:style w:type="character" w:customStyle="1" w:styleId="WarningTok">
    <w:name w:val="WarningTok"/>
    <w:basedOn w:val="VerbatimChar"/>
    <w:rPr>
      <w:color w:val="60a0b0"/>
      <w:rFonts w:ascii="Calibri" w:hAnsi="Calibri"/>
      <w:b/>
      <w:i/>
    </w:rPr>
  </w:style>
  <w:style w:type="character" w:customStyle="1" w:styleId="AlertTok">
    <w:name w:val="AlertTok"/>
    <w:basedOn w:val="VerbatimChar"/>
    <w:rPr>
      <w:color w:val="ff0000"/>
      <w:rFonts w:ascii="Calibri" w:hAnsi="Calibri"/>
      <w:b/>
    </w:rPr>
  </w:style>
  <w:style w:type="character" w:customStyle="1" w:styleId="ErrorTok">
    <w:name w:val="ErrorTok"/>
    <w:basedOn w:val="VerbatimChar"/>
    <w:rPr>
      <w:color w:val="ff0000"/>
      <w:rFonts w:ascii="Calibri" w:hAnsi="Calibri"/>
      <w:b/>
    </w:rPr>
  </w:style>
  <w:style w:type="character" w:customStyle="1" w:styleId="NormalTok">
    <w:name w:val="NormalTok"/>
    <w:basedOn w:val="VerbatimChar"/>
    <w:rPr>
      <w:rFonts w:ascii="Calibri" w:hAnsi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2026-10-09T11:47:25Z</dcterms:created>
  <dcterms:modified xsi:type="dcterms:W3CDTF">2026-10-09T11:47:25Z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