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Ćwiczenie I – rozwiązanie</w:t>
      </w:r>
    </w:p>
    <w:p>
      <w:pPr>
        <w:pStyle w:val="Heading1"/>
        <w:keepNext/>
        <w:spacing w:after="120" w:before="280"/>
      </w:pPr>
      <w:r>
        <w:rPr>
          <w:rFonts w:ascii="Arial" w:cs="Arial" w:eastAsia="Arial" w:hAnsi="Arial"/>
        </w:rPr>
        <w:t xml:space="preserve">Wybór trzech najważniejszych wskaźników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Współczynnik konwersji – bezpośrednio mierzy cel zarządu, czyli liczbę zakupów.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Średnia wartość koszyka – pokazuje, ile wart jest zakup; razem z konwersją decyduje o przychodzie.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Wskaźnik odrzuceń – najsilniej wiąże się z brakiem zakupu i wskazuje, które strony i grupy użytkowników trzeba poprawić.</w:t>
      </w:r>
    </w:p>
    <w:p>
      <w:pPr>
        <w:pStyle w:val="Heading1"/>
        <w:keepNext/>
        <w:spacing w:after="120" w:before="280"/>
      </w:pPr>
      <w:r>
        <w:rPr>
          <w:rFonts w:ascii="Arial" w:cs="Arial" w:eastAsia="Arial" w:hAnsi="Arial"/>
        </w:rPr>
        <w:t xml:space="preserve">1. Filtrowanie według źródła ruchu</w:t>
      </w:r>
    </w:p>
    <w:p>
      <w:pPr>
        <w:keepNext/>
        <w:spacing w:after="60" w:before="160"/>
      </w:pPr>
      <w:r>
        <w:rPr>
          <w:rFonts w:ascii="Arial" w:cs="Arial" w:eastAsia="Arial" w:hAnsi="Arial"/>
          <w:b/>
          <w:bCs/>
        </w:rPr>
        <w:t xml:space="preserve">Porównaj wskaźniki konwersji i średnią wartość koszyka dla każdego źródła.</w:t>
      </w:r>
    </w:p>
    <w:p>
      <w:pPr>
        <w:spacing w:after="100"/>
      </w:pPr>
      <w:r>
        <w:rPr>
          <w:rFonts w:ascii="Arial" w:cs="Arial" w:eastAsia="Arial" w:hAnsi="Arial"/>
        </w:rPr>
        <w:t xml:space="preserve">Google Ads: konwersja 80%, średni koszyk 125 €. Social Media: konwersja 60%, średni koszyk 120 €. Organic Search: konwersja 20%, średni koszyk 75 €.</w:t>
      </w:r>
    </w:p>
    <w:p>
      <w:pPr>
        <w:keepNext/>
        <w:spacing w:after="60" w:before="160"/>
      </w:pPr>
      <w:r>
        <w:rPr>
          <w:rFonts w:ascii="Arial" w:cs="Arial" w:eastAsia="Arial" w:hAnsi="Arial"/>
          <w:b/>
          <w:bCs/>
        </w:rPr>
        <w:t xml:space="preserve">Które źródło generuje najwięcej transakcji?</w:t>
      </w:r>
    </w:p>
    <w:p>
      <w:pPr>
        <w:spacing w:after="100"/>
      </w:pPr>
      <w:r>
        <w:rPr>
          <w:rFonts w:ascii="Arial" w:cs="Arial" w:eastAsia="Arial" w:hAnsi="Arial"/>
        </w:rPr>
        <w:t xml:space="preserve">Google Ads – 4 z 8 transakcji (500 € przychodu, 53% całości).</w:t>
      </w:r>
    </w:p>
    <w:p>
      <w:pPr>
        <w:keepNext/>
        <w:spacing w:after="60" w:before="160"/>
      </w:pPr>
      <w:r>
        <w:rPr>
          <w:rFonts w:ascii="Arial" w:cs="Arial" w:eastAsia="Arial" w:hAnsi="Arial"/>
          <w:b/>
          <w:bCs/>
        </w:rPr>
        <w:t xml:space="preserve">Czy istnieje różnica w zachowaniach między użytkownikami z Google Ads a Organic Search?</w:t>
      </w:r>
    </w:p>
    <w:p>
      <w:pPr>
        <w:spacing w:after="100"/>
      </w:pPr>
      <w:r>
        <w:rPr>
          <w:rFonts w:ascii="Arial" w:cs="Arial" w:eastAsia="Arial" w:hAnsi="Arial"/>
        </w:rPr>
        <w:t xml:space="preserve">Tak. Użytkownicy z Google Ads mają niższy wskaźnik odrzuceń (39% wobec 66%), spędzają więcej czasu na stronie (3,5 wobec 2,0 min), oglądają więcej stron (7,6 wobec 4,0) i częściej kupują (80% wobec 20%). Wynika to głównie z tego, że z Google Ads przychodzą przede wszystkim powracający użytkownicy (4 z 5), a z Organic Search nowi (4 z 5).</w:t>
      </w:r>
    </w:p>
    <w:p>
      <w:pPr>
        <w:pStyle w:val="Heading1"/>
        <w:keepNext/>
        <w:spacing w:after="120" w:before="280"/>
      </w:pPr>
      <w:r>
        <w:rPr>
          <w:rFonts w:ascii="Arial" w:cs="Arial" w:eastAsia="Arial" w:hAnsi="Arial"/>
        </w:rPr>
        <w:t xml:space="preserve">2. Filtrowanie według urządzeń</w:t>
      </w:r>
    </w:p>
    <w:p>
      <w:pPr>
        <w:keepNext/>
        <w:spacing w:after="60" w:before="160"/>
      </w:pPr>
      <w:r>
        <w:rPr>
          <w:rFonts w:ascii="Arial" w:cs="Arial" w:eastAsia="Arial" w:hAnsi="Arial"/>
          <w:b/>
          <w:bCs/>
        </w:rPr>
        <w:t xml:space="preserve">Które urządzenie generuje najwięcej zakupów?</w:t>
      </w:r>
    </w:p>
    <w:p>
      <w:pPr>
        <w:spacing w:after="100"/>
      </w:pPr>
      <w:r>
        <w:rPr>
          <w:rFonts w:ascii="Arial" w:cs="Arial" w:eastAsia="Arial" w:hAnsi="Arial"/>
        </w:rPr>
        <w:t xml:space="preserve">Desktop – 4 z 8 zakupów (konwersja 80%).</w:t>
      </w:r>
    </w:p>
    <w:p>
      <w:pPr>
        <w:keepNext/>
        <w:spacing w:after="60" w:before="160"/>
      </w:pPr>
      <w:r>
        <w:rPr>
          <w:rFonts w:ascii="Arial" w:cs="Arial" w:eastAsia="Arial" w:hAnsi="Arial"/>
          <w:b/>
          <w:bCs/>
        </w:rPr>
        <w:t xml:space="preserve">Jak wskaźnik odrzuceń różni się pomiędzy urządzeniami? Które urządzenie wymaga optymalizacji?</w:t>
      </w:r>
    </w:p>
    <w:p>
      <w:pPr>
        <w:spacing w:after="100"/>
      </w:pPr>
      <w:r>
        <w:rPr>
          <w:rFonts w:ascii="Arial" w:cs="Arial" w:eastAsia="Arial" w:hAnsi="Arial"/>
        </w:rPr>
        <w:t xml:space="preserve">Desktop 29%, Tablet 57%, Mobile 67%. Optymalizacji wymaga Mobile – ma najwyższy wskaźnik odrzuceń i najkrótszy czas na stronie (1,9 min), a jednocześnie najwięcej ruchu (7 z 15 użytkowników).</w:t>
      </w:r>
    </w:p>
    <w:p>
      <w:pPr>
        <w:keepNext/>
        <w:spacing w:after="60" w:before="160"/>
      </w:pPr>
      <w:r>
        <w:rPr>
          <w:rFonts w:ascii="Arial" w:cs="Arial" w:eastAsia="Arial" w:hAnsi="Arial"/>
          <w:b/>
          <w:bCs/>
        </w:rPr>
        <w:t xml:space="preserve">Które urządzenie ma najwyższą wartość koszyka?</w:t>
      </w:r>
    </w:p>
    <w:p>
      <w:pPr>
        <w:spacing w:after="100"/>
      </w:pPr>
      <w:r>
        <w:rPr>
          <w:rFonts w:ascii="Arial" w:cs="Arial" w:eastAsia="Arial" w:hAnsi="Arial"/>
        </w:rPr>
        <w:t xml:space="preserve">Desktop – średnio 162,50 € (Tablet 85 €, Mobile 66,67 €).</w:t>
      </w:r>
    </w:p>
    <w:p>
      <w:pPr>
        <w:pStyle w:val="Heading1"/>
        <w:keepNext/>
        <w:spacing w:after="120" w:before="280"/>
      </w:pPr>
      <w:r>
        <w:rPr>
          <w:rFonts w:ascii="Arial" w:cs="Arial" w:eastAsia="Arial" w:hAnsi="Arial"/>
        </w:rPr>
        <w:t xml:space="preserve">3. Filtrowanie według krajów</w:t>
      </w:r>
    </w:p>
    <w:p>
      <w:pPr>
        <w:keepNext/>
        <w:spacing w:after="60" w:before="160"/>
      </w:pPr>
      <w:r>
        <w:rPr>
          <w:rFonts w:ascii="Arial" w:cs="Arial" w:eastAsia="Arial" w:hAnsi="Arial"/>
          <w:b/>
          <w:bCs/>
        </w:rPr>
        <w:t xml:space="preserve">Porównaj wskaźnik konwersji i wartość koszyka w różnych krajach.</w:t>
      </w:r>
    </w:p>
    <w:p>
      <w:pPr>
        <w:spacing w:after="100"/>
      </w:pPr>
      <w:r>
        <w:rPr>
          <w:rFonts w:ascii="Arial" w:cs="Arial" w:eastAsia="Arial" w:hAnsi="Arial"/>
        </w:rPr>
        <w:t xml:space="preserve">Niemcy: konwersja 80%, średni koszyk 87,50 €. Polska: konwersja 50%, średni koszyk 128,33 €. Wielka Brytania: konwersja 25%, średni koszyk 200 € (jeden zakup).</w:t>
      </w:r>
    </w:p>
    <w:p>
      <w:pPr>
        <w:keepNext/>
        <w:spacing w:after="60" w:before="160"/>
      </w:pPr>
      <w:r>
        <w:rPr>
          <w:rFonts w:ascii="Arial" w:cs="Arial" w:eastAsia="Arial" w:hAnsi="Arial"/>
          <w:b/>
          <w:bCs/>
        </w:rPr>
        <w:t xml:space="preserve">Które kraje mają najniższy wskaźnik odrzuceń?</w:t>
      </w:r>
    </w:p>
    <w:p>
      <w:pPr>
        <w:spacing w:after="100"/>
      </w:pPr>
      <w:r>
        <w:rPr>
          <w:rFonts w:ascii="Arial" w:cs="Arial" w:eastAsia="Arial" w:hAnsi="Arial"/>
        </w:rPr>
        <w:t xml:space="preserve">Niemcy (50,0%) i Polska (50,8%). Najwyższy ma Wielka Brytania (57,5%).</w:t>
      </w:r>
    </w:p>
    <w:p>
      <w:pPr>
        <w:keepNext/>
        <w:spacing w:after="60" w:before="160"/>
      </w:pPr>
      <w:r>
        <w:rPr>
          <w:rFonts w:ascii="Arial" w:cs="Arial" w:eastAsia="Arial" w:hAnsi="Arial"/>
          <w:b/>
          <w:bCs/>
        </w:rPr>
        <w:t xml:space="preserve">Jakie różnice występują pomiędzy nowymi a powracającymi użytkownikami w danym kraju?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Niemcy: nowi – 1 zakup na 2 osoby, odrzucenia 78%; powracający – 3 zakupy na 3 osoby, odrzucenia 32%.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Polska: nowi – 0 zakupów na 3 osoby, odrzucenia 68%; powracający – 3 zakupy na 3 osoby, odrzucenia 33%.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Wielka Brytania: nowi – 0 zakupów na 3 osoby, odrzucenia 72%; powracający – 1 zakup na 1 osobę, odrzucenia 15%, koszyk 200 €.</w:t>
      </w:r>
    </w:p>
    <w:p>
      <w:pPr>
        <w:spacing w:after="100"/>
      </w:pPr>
      <w:r>
        <w:rPr>
          <w:rFonts w:ascii="Arial" w:cs="Arial" w:eastAsia="Arial" w:hAnsi="Arial"/>
        </w:rPr>
        <w:t xml:space="preserve">We wszystkich krajach powracający użytkownicy kupują zawsze, a nowi prawie wcale.</w:t>
      </w:r>
    </w:p>
    <w:p>
      <w:pPr>
        <w:pStyle w:val="Heading1"/>
        <w:keepNext/>
        <w:spacing w:after="120" w:before="280"/>
      </w:pPr>
      <w:r>
        <w:rPr>
          <w:rFonts w:ascii="Arial" w:cs="Arial" w:eastAsia="Arial" w:hAnsi="Arial"/>
        </w:rPr>
        <w:t xml:space="preserve">4. Nowi a powracający użytkownicy</w:t>
      </w:r>
    </w:p>
    <w:p>
      <w:pPr>
        <w:keepNext/>
        <w:spacing w:after="60" w:before="160"/>
      </w:pPr>
      <w:r>
        <w:rPr>
          <w:rFonts w:ascii="Arial" w:cs="Arial" w:eastAsia="Arial" w:hAnsi="Arial"/>
          <w:b/>
          <w:bCs/>
        </w:rPr>
        <w:t xml:space="preserve">Czy powracający użytkownicy generują wyższy współczynnik konwersji?</w:t>
      </w:r>
    </w:p>
    <w:p>
      <w:pPr>
        <w:spacing w:after="100"/>
      </w:pPr>
      <w:r>
        <w:rPr>
          <w:rFonts w:ascii="Arial" w:cs="Arial" w:eastAsia="Arial" w:hAnsi="Arial"/>
        </w:rPr>
        <w:t xml:space="preserve">Tak: 100% (7 z 7) wobec 12,5% (1 z 8) u nowych. Powracający dają 905 € z 935 € przychodu.</w:t>
      </w:r>
    </w:p>
    <w:p>
      <w:pPr>
        <w:keepNext/>
        <w:spacing w:after="60" w:before="160"/>
      </w:pPr>
      <w:r>
        <w:rPr>
          <w:rFonts w:ascii="Arial" w:cs="Arial" w:eastAsia="Arial" w:hAnsi="Arial"/>
          <w:b/>
          <w:bCs/>
        </w:rPr>
        <w:t xml:space="preserve">Która grupa spędza więcej czasu na stronie?</w:t>
      </w:r>
    </w:p>
    <w:p>
      <w:pPr>
        <w:spacing w:after="100"/>
      </w:pPr>
      <w:r>
        <w:rPr>
          <w:rFonts w:ascii="Arial" w:cs="Arial" w:eastAsia="Arial" w:hAnsi="Arial"/>
        </w:rPr>
        <w:t xml:space="preserve">Powracający – średnio 4,0 min wobec 1,5 min u nowych (i 9 stron wobec 3).</w:t>
      </w:r>
    </w:p>
    <w:p>
      <w:pPr>
        <w:keepNext/>
        <w:spacing w:after="60" w:before="160"/>
      </w:pPr>
      <w:r>
        <w:rPr>
          <w:rFonts w:ascii="Arial" w:cs="Arial" w:eastAsia="Arial" w:hAnsi="Arial"/>
          <w:b/>
          <w:bCs/>
        </w:rPr>
        <w:t xml:space="preserve">Jakie strategie marketingowe mogą zachęcić nowych użytkowników do częstszych zakupów?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Rabat lub darmowa dostawa na pierwsze zamówienie, np. za zapis do newslettera.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Remarketing do osób, które odwiedziły sklep i nic nie kupiły.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E-maile powitalne i przypomnienia o porzuconym koszyku.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Opinie klientów oraz jasne zasady dostawy i zwrotów na stronie.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Uproszczony zakup na telefonie: bez rejestracji, z BLIK, Google Pay i Apple Pay.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Strony docelowe dopasowane do treści reklamy.</w:t>
      </w:r>
    </w:p>
    <w:p>
      <w:pPr>
        <w:pStyle w:val="Heading1"/>
        <w:keepNext/>
        <w:spacing w:after="120" w:before="280"/>
      </w:pPr>
      <w:r>
        <w:rPr>
          <w:rFonts w:ascii="Arial" w:cs="Arial" w:eastAsia="Arial" w:hAnsi="Arial"/>
        </w:rPr>
        <w:t xml:space="preserve">Podsumowanie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Najwięcej sprzedają powracający klienci, desktop i Google Ads. Największy problem to nowi użytkownicy, którzy prawie nie kupują.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Poprawić wersję mobilną sklepu (szybkość, prostszy koszyk i płatności) – mobile ma najwięcej ruchu i najwięcej odrzuceń.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Zachęcić nowych do pierwszego zakupu i do powrotu: oferta powitalna, remarketing, e-maile.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Poprawić strony, na które trafia ruch z wyszukiwarki – Organic Search ma najniższą konwersję (20%).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Dopasować ofertę do Wielkiej Brytanii (ceny w funtach, informacje o dostawie) – koszyk jest tam najwyższy, ale nowi nie kupują.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Dbać o powracających klientów (program lojalnościowy, polecanie produktów), bo dają 97% przychodu.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Zmiany wprowadzać jako testy A/B i sprawdzać ich wpływ na konwersję i wartość koszyka.</w:t>
      </w:r>
    </w:p>
    <w:sectPr>
      <w:pgSz w:w="11906" w:h="16838" w:orient="portrait"/>
      <w:pgMar w:top="1200" w:right="1440" w:bottom="12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Arial" w:cs="Arial" w:eastAsia="Arial" w:hAnsi="Arial"/>
      <w:b/>
      <w:bCs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2026-10-16T16:13:28.001Z</dcterms:created>
  <dcterms:modified xsi:type="dcterms:W3CDTF">2026-10-16T16:13:28.001Z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