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Arial" w:cs="Arial" w:eastAsia="Arial" w:hAnsi="Arial"/>
          <w:b/>
          <w:bCs/>
          <w:color w:val="1F4E78"/>
          <w:sz w:val="36"/>
          <w:szCs w:val="36"/>
        </w:rPr>
        <w:t xml:space="preserve">Warsztat 1: filtrowanie danych</w:t>
      </w:r>
    </w:p>
    <w:p>
      <w:pPr>
        <w:spacing w:after="120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Odpowiedzi na zadania (Ćwiczenie I, strona 2)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Zespół: </w:t>
      </w:r>
      <w:r>
        <w:rPr>
          <w:rFonts w:ascii="Arial" w:cs="Arial" w:eastAsia="Arial" w:hAnsi="Arial"/>
        </w:rPr>
        <w:t xml:space="preserve">__________________________________________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Dane: </w:t>
      </w:r>
      <w:r>
        <w:rPr>
          <w:rFonts w:ascii="Arial" w:cs="Arial" w:eastAsia="Arial" w:hAnsi="Arial"/>
        </w:rPr>
        <w:t xml:space="preserve">15 użytkowników sklepu, 8 zakupów, przychód 935 €. Konwersja ogółem 53,3%, średni koszyk kupujących 116,88 €, średni wskaźnik odrzuceń 52,3%.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Przygotowanie danych: </w:t>
      </w:r>
      <w:r>
        <w:rPr>
          <w:rFonts w:ascii="Arial" w:cs="Arial" w:eastAsia="Arial" w:hAnsi="Arial"/>
        </w:rPr>
        <w:t xml:space="preserve">sprawdziliśmy 5 wymiarów jakości. Dane są kompletne (brak pustych pól), unikalne (brak duplikatów), poprawne (wartości w sensownych zakresach) i spójne (każdy zakup ma koszyk &gt; 0 €, każdy brak zakupu ma 0 €). Aktualności nie da się ocenić, bo w danych nie ma daty wizyty.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Definicje: </w:t>
      </w:r>
      <w:r>
        <w:rPr>
          <w:rFonts w:ascii="Arial" w:cs="Arial" w:eastAsia="Arial" w:hAnsi="Arial"/>
        </w:rPr>
        <w:t xml:space="preserve">konwersja = zakupy / użytkownicy w grupie; średnia wartość koszyka = przychód / liczba zakupów (liczona tylko dla kupujących).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Uwaga: </w:t>
      </w:r>
      <w:r>
        <w:rPr>
          <w:rFonts w:ascii="Arial" w:cs="Arial" w:eastAsia="Arial" w:hAnsi="Arial"/>
        </w:rPr>
        <w:t xml:space="preserve">15 rekordów to bardzo mała próba. Wnioski traktujemy jako hipotezy do sprawdzenia, a nie pewne przyczyny.</w:t>
      </w:r>
    </w:p>
    <w:p>
      <w:pPr>
        <w:pStyle w:val="Heading1"/>
        <w:keepNext/>
        <w:spacing w:after="120" w:before="280"/>
      </w:pPr>
      <w:r>
        <w:rPr>
          <w:rFonts w:ascii="Arial" w:cs="Arial" w:eastAsia="Arial" w:hAnsi="Arial"/>
        </w:rPr>
        <w:t xml:space="preserve">Wybór trzech najważniejszych wskaźników</w:t>
      </w:r>
    </w:p>
    <w:p>
      <w:pPr>
        <w:spacing w:after="120"/>
      </w:pPr>
      <w:r>
        <w:rPr>
          <w:rFonts w:ascii="Arial" w:cs="Arial" w:eastAsia="Arial" w:hAnsi="Arial"/>
        </w:rPr>
        <w:t xml:space="preserve">Zgodnie z zasadą „KPI dobieramy do celu firmy, a nie odwrotnie” zaczynamy od celu zarządu: więcej zakupów i lepsza efektywność marketingu. Pamiętamy też, że metryka to nie to samo co KPI: metryka opisuje zjawisko, a KPI mierzy postęp wobec celu.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026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Wskaźnik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Rola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Uzasadnienie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1. Współczynnik konwersji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KPI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Bezpośrednio mierzy cel „więcej zakupów”. Można go porównać z celem i między kanałami, urządzeniami i krajami.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2. Średnia wartość koszyka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KPI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Mierzy wartość zakupu. Przychód = użytkownicy × konwersja × średni koszyk, więc razem z konwersją wyjaśnia wynik sprzedaży.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 Wskaźnik odrzuceń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metryka diagnostyczna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Sam nie jest celem, ale najlepiej tłumaczy, dlaczego konwersja jest niska (korelacja z zakupem r = −0,81). Wskazuje strony i grupy do optymalizacji.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Dlaczego nie czas na stronie ani liczba stron? </w:t>
      </w:r>
      <w:r>
        <w:rPr>
          <w:rFonts w:ascii="Arial" w:cs="Arial" w:eastAsia="Arial" w:hAnsi="Arial"/>
        </w:rPr>
        <w:t xml:space="preserve">Niosą tę samą informację co wskaźnik odrzuceń (korelacja −0,99 i −0,97), więc nic nie dodają.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Czego brakuje: </w:t>
      </w:r>
      <w:r>
        <w:rPr>
          <w:rFonts w:ascii="Arial" w:cs="Arial" w:eastAsia="Arial" w:hAnsi="Arial"/>
        </w:rPr>
        <w:t xml:space="preserve">do oceny efektywności marketingu najlepszy byłby CAC (koszt pozyskania klienta) i ROAS, ale w danych nie ma kosztów kampanii. Brak danych też jest informacją: trzeba je pozyskać z paneli Google Ads i Meta lub z systemu ERP.</w:t>
      </w:r>
    </w:p>
    <w:p>
      <w:pPr>
        <w:pStyle w:val="Heading1"/>
        <w:keepNext/>
        <w:spacing w:after="120" w:before="280"/>
      </w:pPr>
      <w:r>
        <w:rPr>
          <w:rFonts w:ascii="Arial" w:cs="Arial" w:eastAsia="Arial" w:hAnsi="Arial"/>
        </w:rPr>
        <w:t xml:space="preserve">1. Filtr: źródło ruchu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0"/>
        <w:gridCol w:w="820"/>
        <w:gridCol w:w="1100"/>
        <w:gridCol w:w="1180"/>
        <w:gridCol w:w="1320"/>
        <w:gridCol w:w="1000"/>
        <w:gridCol w:w="1326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Źródło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Użytk.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Zakupy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Konwersja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Śr. koszyk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Odrzucenia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Czas (min)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Przychód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Google Ads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80%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125,00 €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3,5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500 €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Social Media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60%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120,00 €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52%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2,6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360 €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Organic Search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20%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75,00 €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2,0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75 €</w:t>
            </w:r>
          </w:p>
        </w:tc>
      </w:tr>
    </w:tbl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4E78"/>
        </w:rPr>
        <w:t xml:space="preserve">Porównaj wskaźniki konwersji i średnią wartość koszyka dla każdego źródła.</w:t>
      </w:r>
    </w:p>
    <w:p>
      <w:pPr>
        <w:spacing w:after="120"/>
      </w:pPr>
      <w:r>
        <w:rPr>
          <w:rFonts w:ascii="Arial" w:cs="Arial" w:eastAsia="Arial" w:hAnsi="Arial"/>
        </w:rPr>
        <w:t xml:space="preserve">Najlepiej wypada Google Ads: konwersja 80% i koszyk 125 €. Social Media ma prawie taki sam koszyk (120 €), ale niższą konwersję (60%). Najsłabszy jest Organic Search: 20% konwersji i 75 €.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4E78"/>
        </w:rPr>
        <w:t xml:space="preserve">Które źródło generuje najwięcej transakcji?</w:t>
      </w:r>
    </w:p>
    <w:p>
      <w:pPr>
        <w:spacing w:after="120"/>
      </w:pPr>
      <w:r>
        <w:rPr>
          <w:rFonts w:ascii="Arial" w:cs="Arial" w:eastAsia="Arial" w:hAnsi="Arial"/>
        </w:rPr>
        <w:t xml:space="preserve">Google Ads: 4 z 8 transakcji i 53% przychodu (500 z 935 €).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4E78"/>
        </w:rPr>
        <w:t xml:space="preserve">Czy istnieje różnica w zachowaniach między użytkownikami z Google Ads a Organic Search?</w:t>
      </w:r>
    </w:p>
    <w:p>
      <w:pPr>
        <w:spacing w:after="120"/>
      </w:pPr>
      <w:r>
        <w:rPr>
          <w:rFonts w:ascii="Arial" w:cs="Arial" w:eastAsia="Arial" w:hAnsi="Arial"/>
        </w:rPr>
        <w:t xml:space="preserve">Tak. Użytkownicy z Google Ads rzadziej odrzucają stronę (39% wobec 66%), są na niej prawie 2 razy dłużej (3,5 wobec 2,0 min), oglądają 2 razy więcej stron (7,6 wobec 4,0) i kupują 4 razy częściej.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Ale średnia może ukrywać segmenty. </w:t>
      </w:r>
      <w:r>
        <w:rPr>
          <w:rFonts w:ascii="Arial" w:cs="Arial" w:eastAsia="Arial" w:hAnsi="Arial"/>
        </w:rPr>
        <w:t xml:space="preserve">Google Ads przyprowadził 4 powracających i 1 nowego, a Organic Search odwrotnie: 4 nowych i 1 powracającego. W tych samych grupach wyniki są takie same: nowi z obu kanałów nie kupili nic, a powracający kupili wszyscy. Różnica wynika więc głównie z tego, kogo kanał przyprowadza, a nie z samego kanału (korelacja ≠ przyczynowość). Google Ads prawdopodobnie „łapie” klientów, którzy już znają sklep, a Organic Search przyprowadza nowych, którzy nie kupują.</w:t>
      </w:r>
    </w:p>
    <w:p>
      <w:pPr>
        <w:pStyle w:val="Heading1"/>
        <w:keepNext/>
        <w:spacing w:after="120" w:before="280"/>
      </w:pPr>
      <w:r>
        <w:rPr>
          <w:rFonts w:ascii="Arial" w:cs="Arial" w:eastAsia="Arial" w:hAnsi="Arial"/>
        </w:rPr>
        <w:t xml:space="preserve">2. Filtr: urządzenie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0"/>
        <w:gridCol w:w="820"/>
        <w:gridCol w:w="1100"/>
        <w:gridCol w:w="1180"/>
        <w:gridCol w:w="1320"/>
        <w:gridCol w:w="1000"/>
        <w:gridCol w:w="1326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Urządzenie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Użytk.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Zakupy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Konwersja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Śr. koszyk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Odrzucenia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Czas (min)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Przychód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Desktop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80%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162,50 €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4,0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650 €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Mobile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43%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66,67 €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1,9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200 €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Tablet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33%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85,00 €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2,4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85 €</w:t>
            </w:r>
          </w:p>
        </w:tc>
      </w:tr>
    </w:tbl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4E78"/>
        </w:rPr>
        <w:t xml:space="preserve">Które urządzenie generuje najwięcej zakupów?</w:t>
      </w:r>
    </w:p>
    <w:p>
      <w:pPr>
        <w:spacing w:after="120"/>
      </w:pPr>
      <w:r>
        <w:rPr>
          <w:rFonts w:ascii="Arial" w:cs="Arial" w:eastAsia="Arial" w:hAnsi="Arial"/>
        </w:rPr>
        <w:t xml:space="preserve">Desktop: 4 z 8 zakupów i 70% przychodu, choć to tylko 1/3 ruchu.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4E78"/>
        </w:rPr>
        <w:t xml:space="preserve">Jak wskaźnik odrzuceń różni się pomiędzy urządzeniami? Które urządzenie wymaga optymalizacji?</w:t>
      </w:r>
    </w:p>
    <w:p>
      <w:pPr>
        <w:spacing w:after="120"/>
      </w:pPr>
      <w:r>
        <w:rPr>
          <w:rFonts w:ascii="Arial" w:cs="Arial" w:eastAsia="Arial" w:hAnsi="Arial"/>
        </w:rPr>
        <w:t xml:space="preserve">Desktop 29%, Tablet 57%, Mobile 67%. Optymalizacji wymaga Mobile: to największa grupa (7 z 15 użytkowników), z najwyższymi odrzuceniami, najkrótszym czasem na stronie i najniższym koszykiem. Najgorzej wypadają nowi użytkownicy na mobile: 5 osób, 79% odrzuceń, 1,1 min na stronie i tylko 1 zakup za 30 €. Tablet też wypada słabo, ale przy 3 użytkownikach to tylko sygnał do obserwacji.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4E78"/>
        </w:rPr>
        <w:t xml:space="preserve">Które urządzenie ma najwyższą wartość koszyka?</w:t>
      </w:r>
    </w:p>
    <w:p>
      <w:pPr>
        <w:spacing w:after="120"/>
      </w:pPr>
      <w:r>
        <w:rPr>
          <w:rFonts w:ascii="Arial" w:cs="Arial" w:eastAsia="Arial" w:hAnsi="Arial"/>
        </w:rPr>
        <w:t xml:space="preserve">Desktop: 162,50 €. Nawet powracający kupują na mobile za mniej (85 € wobec 162,50 € na desktopie).</w:t>
      </w:r>
    </w:p>
    <w:p>
      <w:pPr>
        <w:pStyle w:val="Heading1"/>
        <w:keepNext/>
        <w:spacing w:after="120" w:before="280"/>
      </w:pPr>
      <w:r>
        <w:rPr>
          <w:rFonts w:ascii="Arial" w:cs="Arial" w:eastAsia="Arial" w:hAnsi="Arial"/>
        </w:rPr>
        <w:t xml:space="preserve">3. Filtr: kraj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000"/>
        <w:gridCol w:w="1000"/>
        <w:gridCol w:w="1150"/>
        <w:gridCol w:w="1350"/>
        <w:gridCol w:w="1300"/>
        <w:gridCol w:w="1326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Kraj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Użytk.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Zakupy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Konwersja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Śr. koszyk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Odrzucenia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Przychód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Niemcy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80%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87,50 €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50,0%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350 €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Polska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50%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128,33 €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50,8%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385 €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Wielka Brytania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25%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200,00 €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57,5%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200 €</w:t>
            </w:r>
          </w:p>
        </w:tc>
      </w:tr>
    </w:tbl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4E78"/>
        </w:rPr>
        <w:t xml:space="preserve">Porównaj wskaźnik konwersji i wartość koszyka w różnych krajach.</w:t>
      </w:r>
    </w:p>
    <w:p>
      <w:pPr>
        <w:spacing w:after="120"/>
      </w:pPr>
      <w:r>
        <w:rPr>
          <w:rFonts w:ascii="Arial" w:cs="Arial" w:eastAsia="Arial" w:hAnsi="Arial"/>
        </w:rPr>
        <w:t xml:space="preserve">Niemcy najlepiej konwertują (80%), ale mają najniższy koszyk (87,50 €). Polska daje najwięcej przychodu (385 €) przy konwersji 50% i koszyku 128,33 €. Wielka Brytania ma najwyższy koszyk (200 €), ale z jednego zakupu, i najniższą konwersję (25%).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4E78"/>
        </w:rPr>
        <w:t xml:space="preserve">Które kraje mają najniższy wskaźnik odrzuceń?</w:t>
      </w:r>
    </w:p>
    <w:p>
      <w:pPr>
        <w:spacing w:after="120"/>
      </w:pPr>
      <w:r>
        <w:rPr>
          <w:rFonts w:ascii="Arial" w:cs="Arial" w:eastAsia="Arial" w:hAnsi="Arial"/>
        </w:rPr>
        <w:t xml:space="preserve">Niemcy (50,0%) i Polska (50,8%), praktycznie na równi. Najwyższy ma Wielka Brytania (57,5%).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4E78"/>
        </w:rPr>
        <w:t xml:space="preserve">Jakie różnice występują pomiędzy nowymi a powracającymi użytkownikami w danym kraju?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00"/>
        <w:gridCol w:w="1900"/>
        <w:gridCol w:w="1800"/>
        <w:gridCol w:w="1726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Kraj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Konwersja: nowi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Konwersja: powracający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Odrzucenia: nowi / powr.</w:t>
            </w:r>
          </w:p>
        </w:tc>
        <w:tc>
          <w:tcPr>
            <w:tcW w:type="dxa" w:w="1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Przychód: nowi / powr.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Niemcy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z 2 (50%)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z 3 (100%)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78% / 32%</w:t>
            </w:r>
          </w:p>
        </w:tc>
        <w:tc>
          <w:tcPr>
            <w:tcW w:type="dxa" w:w="1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30 € / 320 €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Polska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z 3 (0%)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z 3 (100%)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68% / 33%</w:t>
            </w:r>
          </w:p>
        </w:tc>
        <w:tc>
          <w:tcPr>
            <w:tcW w:type="dxa" w:w="1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0 € / 385 €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Wielka Brytania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z 3 (0%)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z 1 (100%)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72% / 15%</w:t>
            </w:r>
          </w:p>
        </w:tc>
        <w:tc>
          <w:tcPr>
            <w:tcW w:type="dxa" w:w="1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0 € / 200 €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</w:rPr>
        <w:t xml:space="preserve">W każdym kraju powracający kupują zawsze, a nowi prawie nigdy. Jedyny zakup nowego użytkownika w danych jest w Niemczech (Social Media, mobile, 30 €). Największa luka jest w Wielkiej Brytanii: powracający klient ma 15% odrzuceń i koszyk 200 €, a 3 nowych nie kupiło nic. Warto sprawdzić, czy oferta jest dopasowana do tego rynku (waluta, dostawa, cła, zwroty).</w:t>
      </w:r>
    </w:p>
    <w:p>
      <w:pPr>
        <w:pStyle w:val="Heading1"/>
        <w:keepNext/>
        <w:spacing w:after="120" w:before="280"/>
      </w:pPr>
      <w:r>
        <w:rPr>
          <w:rFonts w:ascii="Arial" w:cs="Arial" w:eastAsia="Arial" w:hAnsi="Arial"/>
        </w:rPr>
        <w:t xml:space="preserve">4. Nowi a powracający użytkownicy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0"/>
        <w:gridCol w:w="820"/>
        <w:gridCol w:w="1100"/>
        <w:gridCol w:w="1180"/>
        <w:gridCol w:w="1320"/>
        <w:gridCol w:w="1000"/>
        <w:gridCol w:w="1326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Użytk.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Zakupy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Konwersja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Śr. koszyk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Odrzucenia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Czas (min)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Przychód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Nowy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12,5%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30,00 €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30 €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Powracający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129,29 €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4,0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905 €</w:t>
            </w:r>
          </w:p>
        </w:tc>
      </w:tr>
    </w:tbl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4E78"/>
        </w:rPr>
        <w:t xml:space="preserve">Czy powracający użytkownicy generują wyższy współczynnik konwersji?</w:t>
      </w:r>
    </w:p>
    <w:p>
      <w:pPr>
        <w:spacing w:after="120"/>
      </w:pPr>
      <w:r>
        <w:rPr>
          <w:rFonts w:ascii="Arial" w:cs="Arial" w:eastAsia="Arial" w:hAnsi="Arial"/>
        </w:rPr>
        <w:t xml:space="preserve">Tak, zdecydowanie: 100% wobec 12,5%. Dają też 97% przychodu (905 z 935 €).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4E78"/>
        </w:rPr>
        <w:t xml:space="preserve">Która grupa spędza więcej czasu na stronie?</w:t>
      </w:r>
    </w:p>
    <w:p>
      <w:pPr>
        <w:spacing w:after="120"/>
      </w:pPr>
      <w:r>
        <w:rPr>
          <w:rFonts w:ascii="Arial" w:cs="Arial" w:eastAsia="Arial" w:hAnsi="Arial"/>
        </w:rPr>
        <w:t xml:space="preserve">Powracający: 4,0 wobec 1,5 min (około 2,7 razy dłużej) i 9 stron wobec 3.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4E78"/>
        </w:rPr>
        <w:t xml:space="preserve">Jakie strategie marketingowe mogą zachęcić nowych użytkowników do częstszych zakupów?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Oferta na pierwsze zamówienie: </w:t>
      </w:r>
      <w:r>
        <w:rPr>
          <w:rFonts w:ascii="Arial" w:cs="Arial" w:eastAsia="Arial" w:hAnsi="Arial"/>
        </w:rPr>
        <w:t xml:space="preserve">rabat lub darmowa dostawa w zamian za zapis do newslettera.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Remarketing </w:t>
      </w:r>
      <w:r>
        <w:rPr>
          <w:rFonts w:ascii="Arial" w:cs="Arial" w:eastAsia="Arial" w:hAnsi="Arial"/>
        </w:rPr>
        <w:t xml:space="preserve">do nowych, którzy nie kupili (Google Ads, social media), z produktami, które oglądali.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E-maile powitalne </w:t>
      </w:r>
      <w:r>
        <w:rPr>
          <w:rFonts w:ascii="Arial" w:cs="Arial" w:eastAsia="Arial" w:hAnsi="Arial"/>
        </w:rPr>
        <w:t xml:space="preserve">i przypomnienie o porzuconym koszyku.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Zaufanie na stronie wejścia: </w:t>
      </w:r>
      <w:r>
        <w:rPr>
          <w:rFonts w:ascii="Arial" w:cs="Arial" w:eastAsia="Arial" w:hAnsi="Arial"/>
        </w:rPr>
        <w:t xml:space="preserve">opinie klientów, jasne zasady dostawy i zwrotów.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Prostszy zakup na telefonie: </w:t>
      </w:r>
      <w:r>
        <w:rPr>
          <w:rFonts w:ascii="Arial" w:cs="Arial" w:eastAsia="Arial" w:hAnsi="Arial"/>
        </w:rPr>
        <w:t xml:space="preserve">zakup bez rejestracji, BLIK, Apple Pay, Google Pay.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Strona docelowa dopasowana </w:t>
      </w:r>
      <w:r>
        <w:rPr>
          <w:rFonts w:ascii="Arial" w:cs="Arial" w:eastAsia="Arial" w:hAnsi="Arial"/>
        </w:rPr>
        <w:t xml:space="preserve">do treści reklamy lub wyszukiwanej frazy.</w:t>
      </w:r>
    </w:p>
    <w:p>
      <w:pPr>
        <w:pStyle w:val="Heading1"/>
        <w:keepNext/>
        <w:spacing w:after="120" w:before="280"/>
      </w:pPr>
      <w:r>
        <w:rPr>
          <w:rFonts w:ascii="Arial" w:cs="Arial" w:eastAsia="Arial" w:hAnsi="Arial"/>
        </w:rPr>
        <w:t xml:space="preserve">Podsumowanie: jak zoptymalizować działania marketingowe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Główny wniosek: </w:t>
      </w:r>
      <w:r>
        <w:rPr>
          <w:rFonts w:ascii="Arial" w:cs="Arial" w:eastAsia="Arial" w:hAnsi="Arial"/>
        </w:rPr>
        <w:t xml:space="preserve">sklep dobrze sprzedaje klientom, którzy już go znają, ale prawie nie przekonuje nowych, zwłaszcza na telefonach i z wyszukiwarki. Średnia konwersja 53% ukrywa dwa skrajne segmenty: 100% u powracających i 12,5% u nowych.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Wnioski według obszarów Customer Intelligence: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Grupa docelowa: </w:t>
      </w:r>
      <w:r>
        <w:rPr>
          <w:rFonts w:ascii="Arial" w:cs="Arial" w:eastAsia="Arial" w:hAnsi="Arial"/>
        </w:rPr>
        <w:t xml:space="preserve">priorytetem są nowi użytkownicy na mobile (1/3 ruchu, 79% odrzuceń), nowi z Organic Search (0 z 4 zakupów) i nowi z Wielkiej Brytanii (0 z 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Kanał: </w:t>
      </w:r>
      <w:r>
        <w:rPr>
          <w:rFonts w:ascii="Arial" w:cs="Arial" w:eastAsia="Arial" w:hAnsi="Arial"/>
        </w:rPr>
        <w:t xml:space="preserve">Google Ads dobrze sprzedaje powracającym. Warto sprawdzić, czy nie płacimy za klientów, którzy i tak by wrócili, i część budżetu przetestować na pozyskanie nowych. Social Media ma najwyższy koszyk powracających (165 €) i jedyny zakup nowego klienta, więc to dobry kandydat na kanał pozyskania. Organic Search to darmowy ruch, więc poprawa jego konwersji daje najwyższy zwrot.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Treść komunikatu: </w:t>
      </w:r>
      <w:r>
        <w:rPr>
          <w:rFonts w:ascii="Arial" w:cs="Arial" w:eastAsia="Arial" w:hAnsi="Arial"/>
        </w:rPr>
        <w:t xml:space="preserve">oferta powitalna dla nowych, lokalizacja dla UK (ceny w GBP, informacja o dostawie i cłach), a dla powracających cross-selling i program lojalnościowy, bo dają 97% przychodu.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Termin: </w:t>
      </w:r>
      <w:r>
        <w:rPr>
          <w:rFonts w:ascii="Arial" w:cs="Arial" w:eastAsia="Arial" w:hAnsi="Arial"/>
        </w:rPr>
        <w:t xml:space="preserve">remarketing i e-mail krótko po pierwszej wizycie lub porzuceniu koszyka, póki klient pamięta sklep.</w:t>
      </w:r>
    </w:p>
    <w:p>
      <w:pPr>
        <w:keepNext/>
        <w:spacing w:after="120" w:before="160"/>
      </w:pPr>
      <w:r>
        <w:rPr>
          <w:rFonts w:ascii="Arial" w:cs="Arial" w:eastAsia="Arial" w:hAnsi="Arial"/>
          <w:b/>
          <w:bCs/>
        </w:rPr>
        <w:t xml:space="preserve">Decyzja i pomiar: co przetestować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600"/>
        <w:gridCol w:w="2826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Działanie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Mierzony KPI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Prostsza strona wejścia i zakup na mobile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test A/B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odrzucenia i konwersja na mobile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Oferta powitalna dla nowych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test A/B (z ofertą / bez)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konwersja nowych, średni koszyk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Remarketing do nowych, którzy nie kupili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grupa z remarketingiem vs kontrolna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odsetek powrotów, konwersja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Lepsze strony wejścia z wyszukiwarki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test A/B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odrzucenia i konwersja Organic Search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Lokalizacja oferty dla UK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test A/B na ruchu z UK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konwersja nowych z UK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Rekomendacje produktów w koszyku na mobile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test A/B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średni koszyk na mobile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</w:rPr>
        <w:t xml:space="preserve">Jeśli zmiana przynosi dobre wyniki, wdrażamy ją na stałe. Jeśli nie, stawiamy nową hipotezę.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Zastrzeżenia: </w:t>
      </w:r>
      <w:r>
        <w:rPr>
          <w:rFonts w:ascii="Arial" w:cs="Arial" w:eastAsia="Arial" w:hAnsi="Arial"/>
        </w:rPr>
        <w:t xml:space="preserve">zadania 1–4 to analiza opisowa (descriptive) i diagnostyczna (diagnostic), a podsumowanie to rekomendacje (prescriptive). Na prognozę (predictive) 15 rekordów nie wystarczy. Przed decyzjami budżetowymi trzeba dołożyć koszty kampanii (do CAC i ROAS), daty wizyt, etapy lejka zakupowego i historię klientów z CRM.</w:t>
      </w:r>
    </w:p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4E78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2026-10-09T17:19:59.114Z</dcterms:created>
  <dcterms:modified xsi:type="dcterms:W3CDTF">2026-10-09T17:19:59.114Z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