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tестовое задание (Full-stack задача).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Необходимо частично реализовать пример системы для работы с документами (document management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Страницы: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Список документов. Необходимо наличие фильтрации по критериям, сортировки, постраничного просмотра (Pagination).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Критерии: дата создания, с кем заключен контракт, кто заключал контракт, срок исполнения контракта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Пагинация средствами серверной части, а не только фронта.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Детальный просмотр документа (отдельный скрин).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Для пользователя добавление/редактирование документа (отдельный скрин).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Необходимо наличие валидации вводимых данных - кнопка сабмита дизейблится, а поля ввода подсвечиваются красным итд.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Технологии: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Angular 6 (Single Page Application)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Серв часть - Java 8, Spring MVC, Swagger, Spring Data, H2, Gradle, Tomcat.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Визуальную часть делать можно простой, без наворотов (можно сделать на базе bootstrap).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Архитектура - 3 уровневая с разделением по слоям - Controller, Service, Repository. Общие вещи не дублировать, а делать через наследование от базовых классов (по возможности использовать generics).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Объект "Документ" из себя представляет описание документа - можно добавить произвольных атрибутов - дата создания, статус, автор документа, файл документа (файл любого формата) и тд.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Можно добавить по своему усмотрению.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Авторизация и 2 вида пользователей: администратор и простой пользователь.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Админ видит все доки и всех пользователей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Список книг для изучения: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"https://www.oreilly.com/library/view/effective-java-3rd/9780134686097/"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https://www.oreilly.com/library/view/effective-java-3rd/9780134686097/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"https://oz.by/books/more10407993.html"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https://oz.by/books/more10407993.html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jc w:val="both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Effective java на русском -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"https://oz.by/books/more10824326.html?sbtoken=a06459d50da81cea067f4bb22fea69cb"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https://oz.by/books/more10824326.html?sbtoken=a06459d50da81cea067f4bb22fea69cb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z.by/books/more10824326.html?sbtoken=a06459d50da81cea067f4bb22fea6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