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2.1.1</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Registers the checked-out repository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 when Python is available.</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registers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approval rules stay in ignored chief-of-staff.json.</w:t>
      </w:r>
    </w:p>
    <w:p>
      <w:r>
        <w:t>Chief uses durable local policy, not an expiring or time-boxed mode. Connector access starts disabled. External writes are blocked or require explicit confirmation. Authority changes only through an owner-approved update to the private configuration.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exact inputs, one job, relevant references, output, observable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when available. Read the saved result back before any retry or completion report.</w:t>
      </w:r>
    </w:p>
    <w:p>
      <w:pPr>
        <w:pStyle w:val="Heading2"/>
        <w:pageBreakBefore/>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Fifteen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fifteen prompts in persona/persona-contract.json in fresh Codex and ChatGPT Work tasks with GPT-5.6 Sol Medium. Generate the host prompt with scripts/live_acceptance_harness.py. For ChatGPT Work, the owner verifies the Work UI, Work locally and Ask for approval; record the underlying runtime separately because it may report Codex. For Codex, require the built-in read-only permission profile. Run responses inline. Any task creation or delegation invalidates the run. A file mutation also invalidates it. The same rule applies to a connector call, external action or host substitution. Terra XHigh is owner-waived for this release to conserve the reset token budget.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2.1.1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