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140" w:rsidRPr="009D09EC" w:rsidRDefault="009849D1">
      <w:pPr>
        <w:rPr>
          <w:b/>
          <w:lang w:val="fr-CA"/>
        </w:rPr>
      </w:pPr>
      <w:r w:rsidRPr="009D09EC">
        <w:rPr>
          <w:b/>
          <w:lang w:val="fr-CA"/>
        </w:rPr>
        <w:t>Rapport</w:t>
      </w:r>
    </w:p>
    <w:p w:rsidR="00587140" w:rsidRDefault="009849D1">
      <w:pPr>
        <w:rPr>
          <w:u w:val="single"/>
          <w:lang w:val="fr-CA"/>
        </w:rPr>
      </w:pPr>
      <w:r>
        <w:rPr>
          <w:u w:val="single"/>
          <w:lang w:val="fr-CA"/>
        </w:rPr>
        <w:t>Division des tâches par le répartiteur</w:t>
      </w:r>
    </w:p>
    <w:p w:rsidR="00587140" w:rsidRDefault="009849D1">
      <w:pPr>
        <w:jc w:val="both"/>
        <w:rPr>
          <w:sz w:val="20"/>
          <w:lang w:val="fr-CA"/>
        </w:rPr>
      </w:pPr>
      <w:r>
        <w:rPr>
          <w:lang w:val="fr-CA"/>
        </w:rPr>
        <w:t>Tout d</w:t>
      </w:r>
      <w:r>
        <w:rPr>
          <w:sz w:val="20"/>
          <w:lang w:val="fr-CA"/>
        </w:rPr>
        <w:t xml:space="preserve">’abord, on tri l’ensemble des serveurs de calcul disponibles en fonction de leur capacité, de la plus grande capacité à la plus petite. Ensuite, on essaie d’envoyer l’ensemble des calculs au </w:t>
      </w:r>
      <w:r>
        <w:rPr>
          <w:sz w:val="20"/>
          <w:lang w:val="fr-CA"/>
        </w:rPr>
        <w:t>premier serveur de calcul. Si ce serveur ne peut accepter l’ensemble d’opérations, on réduit cet ensemble jusqu’à ce que le taux de refus soit inférieur à 20%. Lorsque le nœud accepte la tâche, on met sa capacité à 0. À ce moment, on tri à nouveau les serv</w:t>
      </w:r>
      <w:r>
        <w:rPr>
          <w:sz w:val="20"/>
          <w:lang w:val="fr-CA"/>
        </w:rPr>
        <w:t>eurs de calcul et on tente d’envoyer les opérations restantes au serveur en tête de file. Si l’ensemble des nœuds de calcul est occupé, le distributeur redemande l’ensemble des nœuds de calcul au service de noms.</w:t>
      </w:r>
    </w:p>
    <w:p w:rsidR="00587140" w:rsidRDefault="009849D1">
      <w:pPr>
        <w:jc w:val="both"/>
        <w:rPr>
          <w:sz w:val="20"/>
          <w:lang w:val="fr-CA"/>
        </w:rPr>
      </w:pPr>
      <w:r>
        <w:rPr>
          <w:sz w:val="20"/>
          <w:lang w:val="fr-CA"/>
        </w:rPr>
        <w:t>Cette méthode de division des tâches ne per</w:t>
      </w:r>
      <w:r>
        <w:rPr>
          <w:sz w:val="20"/>
          <w:lang w:val="fr-CA"/>
        </w:rPr>
        <w:t>met pas de paralléliser au maximum les calculs, mais s’assure que les calculs seront effectués si au moins un serveur est disponible. Ce choix de division a été fait puisqu’il permet de s’assurer de l’intégrité des données et que le système donnera une rép</w:t>
      </w:r>
      <w:r>
        <w:rPr>
          <w:sz w:val="20"/>
          <w:lang w:val="fr-CA"/>
        </w:rPr>
        <w:t>onse.</w:t>
      </w:r>
    </w:p>
    <w:p w:rsidR="00587140" w:rsidRDefault="009849D1">
      <w:pPr>
        <w:jc w:val="both"/>
        <w:rPr>
          <w:sz w:val="20"/>
          <w:u w:val="single"/>
          <w:lang w:val="fr-CA"/>
        </w:rPr>
      </w:pPr>
      <w:r>
        <w:rPr>
          <w:sz w:val="20"/>
          <w:u w:val="single"/>
          <w:lang w:val="fr-CA"/>
        </w:rPr>
        <w:t>Gestion des tâches échouées et pannes intempestives</w:t>
      </w:r>
    </w:p>
    <w:p w:rsidR="00587140" w:rsidRDefault="009849D1">
      <w:pPr>
        <w:jc w:val="both"/>
        <w:rPr>
          <w:sz w:val="20"/>
          <w:lang w:val="fr-CA"/>
        </w:rPr>
      </w:pPr>
      <w:r>
        <w:rPr>
          <w:sz w:val="20"/>
          <w:lang w:val="fr-CA"/>
        </w:rPr>
        <w:t xml:space="preserve">Lorsque le distributeur appelle une méthode sur un serveur de calcul qui a planté, le distributeur affiche la </w:t>
      </w:r>
      <w:proofErr w:type="spellStart"/>
      <w:r>
        <w:rPr>
          <w:sz w:val="20"/>
          <w:lang w:val="fr-CA"/>
        </w:rPr>
        <w:t>RemoteException</w:t>
      </w:r>
      <w:proofErr w:type="spellEnd"/>
      <w:r>
        <w:rPr>
          <w:sz w:val="20"/>
          <w:lang w:val="fr-CA"/>
        </w:rPr>
        <w:t xml:space="preserve"> et recharge la liste des calculateurs. Si le serveur de calcul plante pe</w:t>
      </w:r>
      <w:r>
        <w:rPr>
          <w:sz w:val="20"/>
          <w:lang w:val="fr-CA"/>
        </w:rPr>
        <w:t>ndant ses opérations, on envoie la liste d’opérations qui lui était assignée à un autre serveur de calcul selon le procédé de division des tâches.</w:t>
      </w:r>
    </w:p>
    <w:p w:rsidR="00587140" w:rsidRDefault="009849D1">
      <w:pPr>
        <w:jc w:val="both"/>
        <w:rPr>
          <w:sz w:val="20"/>
          <w:lang w:val="fr-CA"/>
        </w:rPr>
      </w:pPr>
      <w:r>
        <w:rPr>
          <w:sz w:val="20"/>
          <w:lang w:val="fr-CA"/>
        </w:rPr>
        <w:t>Cette méthode de gestion d’échec a été implémentée de la sorte puisqu’elle permet de s’assurer que les donnée</w:t>
      </w:r>
      <w:r>
        <w:rPr>
          <w:sz w:val="20"/>
          <w:lang w:val="fr-CA"/>
        </w:rPr>
        <w:t>s seront traitées en cas de défaillance et que le système n’entrera pas dans une boucle d’attente continue.</w:t>
      </w:r>
    </w:p>
    <w:p w:rsidR="00587140" w:rsidRDefault="009849D1">
      <w:pPr>
        <w:jc w:val="both"/>
        <w:rPr>
          <w:sz w:val="20"/>
          <w:u w:val="single"/>
          <w:lang w:val="fr-CA"/>
        </w:rPr>
      </w:pPr>
      <w:r>
        <w:rPr>
          <w:sz w:val="20"/>
          <w:u w:val="single"/>
          <w:lang w:val="fr-CA"/>
        </w:rPr>
        <w:t>Mode sécurisé</w:t>
      </w:r>
    </w:p>
    <w:tbl>
      <w:tblPr>
        <w:tblStyle w:val="Grilledutableau"/>
        <w:tblW w:w="9350" w:type="dxa"/>
        <w:tblLook w:val="04A0" w:firstRow="1" w:lastRow="0" w:firstColumn="1" w:lastColumn="0" w:noHBand="0" w:noVBand="1"/>
      </w:tblPr>
      <w:tblGrid>
        <w:gridCol w:w="1559"/>
        <w:gridCol w:w="1558"/>
        <w:gridCol w:w="1558"/>
        <w:gridCol w:w="1556"/>
        <w:gridCol w:w="1559"/>
        <w:gridCol w:w="1560"/>
      </w:tblGrid>
      <w:tr w:rsidR="00587140">
        <w:tc>
          <w:tcPr>
            <w:tcW w:w="1558" w:type="dxa"/>
            <w:shd w:val="clear" w:color="auto" w:fill="auto"/>
          </w:tcPr>
          <w:p w:rsidR="00587140" w:rsidRDefault="00587140">
            <w:pPr>
              <w:spacing w:after="0" w:line="240" w:lineRule="auto"/>
              <w:jc w:val="both"/>
              <w:rPr>
                <w:sz w:val="20"/>
                <w:lang w:val="fr-CA"/>
              </w:rPr>
            </w:pPr>
          </w:p>
        </w:tc>
        <w:tc>
          <w:tcPr>
            <w:tcW w:w="1558" w:type="dxa"/>
            <w:shd w:val="clear" w:color="auto" w:fill="auto"/>
          </w:tcPr>
          <w:p w:rsidR="00587140" w:rsidRDefault="009849D1">
            <w:pPr>
              <w:spacing w:after="0" w:line="240" w:lineRule="auto"/>
              <w:jc w:val="both"/>
              <w:rPr>
                <w:sz w:val="20"/>
                <w:lang w:val="fr-CA"/>
              </w:rPr>
            </w:pPr>
            <w:r>
              <w:rPr>
                <w:sz w:val="20"/>
                <w:lang w:val="fr-CA"/>
              </w:rPr>
              <w:t>Op-588</w:t>
            </w:r>
          </w:p>
        </w:tc>
        <w:tc>
          <w:tcPr>
            <w:tcW w:w="1558" w:type="dxa"/>
            <w:shd w:val="clear" w:color="auto" w:fill="auto"/>
          </w:tcPr>
          <w:p w:rsidR="00587140" w:rsidRDefault="009849D1">
            <w:pPr>
              <w:spacing w:after="0" w:line="240" w:lineRule="auto"/>
              <w:jc w:val="both"/>
              <w:rPr>
                <w:sz w:val="20"/>
                <w:lang w:val="fr-CA"/>
              </w:rPr>
            </w:pPr>
            <w:r>
              <w:rPr>
                <w:sz w:val="20"/>
                <w:lang w:val="fr-CA"/>
              </w:rPr>
              <w:t>Op-1949</w:t>
            </w:r>
          </w:p>
        </w:tc>
        <w:tc>
          <w:tcPr>
            <w:tcW w:w="1556" w:type="dxa"/>
            <w:shd w:val="clear" w:color="auto" w:fill="auto"/>
          </w:tcPr>
          <w:p w:rsidR="00587140" w:rsidRDefault="009849D1">
            <w:pPr>
              <w:spacing w:after="0" w:line="240" w:lineRule="auto"/>
              <w:jc w:val="both"/>
              <w:rPr>
                <w:sz w:val="20"/>
                <w:lang w:val="fr-CA"/>
              </w:rPr>
            </w:pPr>
            <w:r>
              <w:rPr>
                <w:sz w:val="20"/>
                <w:lang w:val="fr-CA"/>
              </w:rPr>
              <w:t>Op-2809</w:t>
            </w:r>
          </w:p>
        </w:tc>
        <w:tc>
          <w:tcPr>
            <w:tcW w:w="1559" w:type="dxa"/>
            <w:shd w:val="clear" w:color="auto" w:fill="auto"/>
          </w:tcPr>
          <w:p w:rsidR="00587140" w:rsidRDefault="009849D1">
            <w:pPr>
              <w:spacing w:after="0" w:line="240" w:lineRule="auto"/>
              <w:jc w:val="both"/>
              <w:rPr>
                <w:sz w:val="20"/>
                <w:lang w:val="fr-CA"/>
              </w:rPr>
            </w:pPr>
            <w:r>
              <w:rPr>
                <w:sz w:val="20"/>
                <w:lang w:val="fr-CA"/>
              </w:rPr>
              <w:t>Op-3216</w:t>
            </w:r>
          </w:p>
        </w:tc>
        <w:tc>
          <w:tcPr>
            <w:tcW w:w="1560" w:type="dxa"/>
            <w:shd w:val="clear" w:color="auto" w:fill="auto"/>
          </w:tcPr>
          <w:p w:rsidR="00587140" w:rsidRDefault="009849D1">
            <w:pPr>
              <w:spacing w:after="0" w:line="240" w:lineRule="auto"/>
              <w:jc w:val="both"/>
              <w:rPr>
                <w:sz w:val="20"/>
                <w:lang w:val="fr-CA"/>
              </w:rPr>
            </w:pPr>
            <w:r>
              <w:rPr>
                <w:sz w:val="20"/>
                <w:lang w:val="fr-CA"/>
              </w:rPr>
              <w:t>Op-1481</w:t>
            </w:r>
          </w:p>
        </w:tc>
      </w:tr>
      <w:tr w:rsidR="00587140">
        <w:tc>
          <w:tcPr>
            <w:tcW w:w="1558" w:type="dxa"/>
            <w:shd w:val="clear" w:color="auto" w:fill="auto"/>
          </w:tcPr>
          <w:p w:rsidR="00587140" w:rsidRDefault="009849D1">
            <w:pPr>
              <w:spacing w:after="0" w:line="240" w:lineRule="auto"/>
              <w:jc w:val="both"/>
              <w:rPr>
                <w:sz w:val="20"/>
                <w:lang w:val="fr-CA"/>
              </w:rPr>
            </w:pPr>
            <w:r>
              <w:rPr>
                <w:sz w:val="20"/>
                <w:lang w:val="fr-CA"/>
              </w:rPr>
              <w:t>1 serveur</w:t>
            </w:r>
          </w:p>
        </w:tc>
        <w:tc>
          <w:tcPr>
            <w:tcW w:w="1558" w:type="dxa"/>
            <w:shd w:val="clear" w:color="auto" w:fill="auto"/>
          </w:tcPr>
          <w:p w:rsidR="00587140" w:rsidRDefault="009849D1">
            <w:pPr>
              <w:spacing w:after="0" w:line="240" w:lineRule="auto"/>
              <w:jc w:val="both"/>
              <w:rPr>
                <w:sz w:val="20"/>
                <w:lang w:val="fr-CA"/>
              </w:rPr>
            </w:pPr>
            <w:r>
              <w:rPr>
                <w:sz w:val="20"/>
                <w:lang w:val="fr-CA"/>
              </w:rPr>
              <w:t>583 ms</w:t>
            </w:r>
          </w:p>
        </w:tc>
        <w:tc>
          <w:tcPr>
            <w:tcW w:w="1558" w:type="dxa"/>
            <w:shd w:val="clear" w:color="auto" w:fill="auto"/>
          </w:tcPr>
          <w:p w:rsidR="00587140" w:rsidRDefault="009849D1">
            <w:pPr>
              <w:spacing w:after="0" w:line="240" w:lineRule="auto"/>
              <w:jc w:val="both"/>
              <w:rPr>
                <w:sz w:val="20"/>
                <w:lang w:val="fr-CA"/>
              </w:rPr>
            </w:pPr>
            <w:r>
              <w:rPr>
                <w:sz w:val="20"/>
                <w:lang w:val="fr-CA"/>
              </w:rPr>
              <w:t>587 ms</w:t>
            </w:r>
          </w:p>
        </w:tc>
        <w:tc>
          <w:tcPr>
            <w:tcW w:w="1556" w:type="dxa"/>
            <w:shd w:val="clear" w:color="auto" w:fill="auto"/>
          </w:tcPr>
          <w:p w:rsidR="00587140" w:rsidRDefault="009849D1">
            <w:pPr>
              <w:spacing w:after="0" w:line="240" w:lineRule="auto"/>
              <w:jc w:val="both"/>
              <w:rPr>
                <w:sz w:val="20"/>
                <w:lang w:val="fr-CA"/>
              </w:rPr>
            </w:pPr>
            <w:r>
              <w:rPr>
                <w:sz w:val="20"/>
                <w:lang w:val="fr-CA"/>
              </w:rPr>
              <w:t>556 ms</w:t>
            </w:r>
          </w:p>
        </w:tc>
        <w:tc>
          <w:tcPr>
            <w:tcW w:w="1559" w:type="dxa"/>
            <w:shd w:val="clear" w:color="auto" w:fill="auto"/>
          </w:tcPr>
          <w:p w:rsidR="00587140" w:rsidRDefault="009849D1">
            <w:pPr>
              <w:spacing w:after="0" w:line="240" w:lineRule="auto"/>
              <w:jc w:val="both"/>
              <w:rPr>
                <w:sz w:val="20"/>
                <w:lang w:val="fr-CA"/>
              </w:rPr>
            </w:pPr>
            <w:r>
              <w:rPr>
                <w:sz w:val="20"/>
                <w:lang w:val="fr-CA"/>
              </w:rPr>
              <w:t>587 ms</w:t>
            </w:r>
          </w:p>
        </w:tc>
        <w:tc>
          <w:tcPr>
            <w:tcW w:w="1560" w:type="dxa"/>
            <w:shd w:val="clear" w:color="auto" w:fill="auto"/>
          </w:tcPr>
          <w:p w:rsidR="00587140" w:rsidRDefault="009849D1">
            <w:pPr>
              <w:spacing w:after="0" w:line="240" w:lineRule="auto"/>
              <w:jc w:val="both"/>
              <w:rPr>
                <w:sz w:val="20"/>
                <w:lang w:val="fr-CA"/>
              </w:rPr>
            </w:pPr>
            <w:r>
              <w:rPr>
                <w:sz w:val="20"/>
                <w:lang w:val="fr-CA"/>
              </w:rPr>
              <w:t>1281 ms</w:t>
            </w:r>
          </w:p>
        </w:tc>
      </w:tr>
      <w:tr w:rsidR="00587140">
        <w:tc>
          <w:tcPr>
            <w:tcW w:w="1558" w:type="dxa"/>
            <w:shd w:val="clear" w:color="auto" w:fill="auto"/>
          </w:tcPr>
          <w:p w:rsidR="00587140" w:rsidRDefault="009849D1">
            <w:pPr>
              <w:spacing w:after="0" w:line="240" w:lineRule="auto"/>
              <w:jc w:val="both"/>
              <w:rPr>
                <w:sz w:val="20"/>
                <w:lang w:val="fr-CA"/>
              </w:rPr>
            </w:pPr>
            <w:r>
              <w:rPr>
                <w:sz w:val="20"/>
                <w:lang w:val="fr-CA"/>
              </w:rPr>
              <w:t>2 serveurs</w:t>
            </w:r>
          </w:p>
        </w:tc>
        <w:tc>
          <w:tcPr>
            <w:tcW w:w="1558" w:type="dxa"/>
            <w:shd w:val="clear" w:color="auto" w:fill="auto"/>
          </w:tcPr>
          <w:p w:rsidR="00587140" w:rsidRDefault="009849D1">
            <w:pPr>
              <w:spacing w:after="0" w:line="240" w:lineRule="auto"/>
              <w:jc w:val="both"/>
              <w:rPr>
                <w:sz w:val="20"/>
                <w:lang w:val="fr-CA"/>
              </w:rPr>
            </w:pPr>
            <w:r>
              <w:rPr>
                <w:sz w:val="20"/>
                <w:lang w:val="fr-CA"/>
              </w:rPr>
              <w:t>855 ms</w:t>
            </w:r>
          </w:p>
        </w:tc>
        <w:tc>
          <w:tcPr>
            <w:tcW w:w="1558" w:type="dxa"/>
            <w:shd w:val="clear" w:color="auto" w:fill="auto"/>
          </w:tcPr>
          <w:p w:rsidR="00587140" w:rsidRDefault="009849D1">
            <w:pPr>
              <w:spacing w:after="0" w:line="240" w:lineRule="auto"/>
              <w:jc w:val="both"/>
              <w:rPr>
                <w:sz w:val="20"/>
                <w:lang w:val="fr-CA"/>
              </w:rPr>
            </w:pPr>
            <w:r>
              <w:rPr>
                <w:sz w:val="20"/>
                <w:lang w:val="fr-CA"/>
              </w:rPr>
              <w:t>853 ms</w:t>
            </w:r>
          </w:p>
        </w:tc>
        <w:tc>
          <w:tcPr>
            <w:tcW w:w="1556" w:type="dxa"/>
            <w:shd w:val="clear" w:color="auto" w:fill="auto"/>
          </w:tcPr>
          <w:p w:rsidR="00587140" w:rsidRDefault="009849D1">
            <w:pPr>
              <w:spacing w:after="0" w:line="240" w:lineRule="auto"/>
              <w:jc w:val="both"/>
              <w:rPr>
                <w:sz w:val="20"/>
                <w:lang w:val="fr-CA"/>
              </w:rPr>
            </w:pPr>
            <w:r>
              <w:rPr>
                <w:sz w:val="20"/>
                <w:lang w:val="fr-CA"/>
              </w:rPr>
              <w:t>933 ms</w:t>
            </w:r>
          </w:p>
        </w:tc>
        <w:tc>
          <w:tcPr>
            <w:tcW w:w="1559" w:type="dxa"/>
            <w:shd w:val="clear" w:color="auto" w:fill="auto"/>
          </w:tcPr>
          <w:p w:rsidR="00587140" w:rsidRDefault="009849D1">
            <w:pPr>
              <w:spacing w:after="0" w:line="240" w:lineRule="auto"/>
              <w:jc w:val="both"/>
              <w:rPr>
                <w:sz w:val="20"/>
                <w:lang w:val="fr-CA"/>
              </w:rPr>
            </w:pPr>
            <w:r>
              <w:rPr>
                <w:sz w:val="20"/>
                <w:lang w:val="fr-CA"/>
              </w:rPr>
              <w:t>726 ms</w:t>
            </w:r>
          </w:p>
        </w:tc>
        <w:tc>
          <w:tcPr>
            <w:tcW w:w="1560" w:type="dxa"/>
            <w:shd w:val="clear" w:color="auto" w:fill="auto"/>
          </w:tcPr>
          <w:p w:rsidR="00587140" w:rsidRDefault="009849D1">
            <w:pPr>
              <w:spacing w:after="0" w:line="240" w:lineRule="auto"/>
              <w:jc w:val="both"/>
              <w:rPr>
                <w:sz w:val="20"/>
                <w:lang w:val="fr-CA"/>
              </w:rPr>
            </w:pPr>
            <w:r>
              <w:rPr>
                <w:sz w:val="20"/>
                <w:lang w:val="fr-CA"/>
              </w:rPr>
              <w:t xml:space="preserve">744 </w:t>
            </w:r>
            <w:r>
              <w:rPr>
                <w:sz w:val="20"/>
                <w:lang w:val="fr-CA"/>
              </w:rPr>
              <w:t>ms</w:t>
            </w:r>
          </w:p>
        </w:tc>
      </w:tr>
      <w:tr w:rsidR="00587140">
        <w:tc>
          <w:tcPr>
            <w:tcW w:w="1558" w:type="dxa"/>
            <w:shd w:val="clear" w:color="auto" w:fill="auto"/>
          </w:tcPr>
          <w:p w:rsidR="00587140" w:rsidRDefault="009849D1">
            <w:pPr>
              <w:spacing w:after="0" w:line="240" w:lineRule="auto"/>
              <w:jc w:val="both"/>
              <w:rPr>
                <w:sz w:val="20"/>
                <w:lang w:val="fr-CA"/>
              </w:rPr>
            </w:pPr>
            <w:r>
              <w:rPr>
                <w:sz w:val="20"/>
                <w:lang w:val="fr-CA"/>
              </w:rPr>
              <w:t>3 serveurs</w:t>
            </w:r>
          </w:p>
        </w:tc>
        <w:tc>
          <w:tcPr>
            <w:tcW w:w="1558" w:type="dxa"/>
            <w:shd w:val="clear" w:color="auto" w:fill="auto"/>
          </w:tcPr>
          <w:p w:rsidR="00587140" w:rsidRDefault="009849D1">
            <w:pPr>
              <w:spacing w:after="0" w:line="240" w:lineRule="auto"/>
              <w:jc w:val="both"/>
              <w:rPr>
                <w:sz w:val="20"/>
                <w:lang w:val="fr-CA"/>
              </w:rPr>
            </w:pPr>
            <w:r>
              <w:rPr>
                <w:sz w:val="20"/>
                <w:lang w:val="fr-CA"/>
              </w:rPr>
              <w:t>988 ms</w:t>
            </w:r>
          </w:p>
        </w:tc>
        <w:tc>
          <w:tcPr>
            <w:tcW w:w="1558" w:type="dxa"/>
            <w:shd w:val="clear" w:color="auto" w:fill="auto"/>
          </w:tcPr>
          <w:p w:rsidR="00587140" w:rsidRDefault="009849D1">
            <w:pPr>
              <w:spacing w:after="0" w:line="240" w:lineRule="auto"/>
              <w:jc w:val="both"/>
              <w:rPr>
                <w:sz w:val="20"/>
                <w:lang w:val="fr-CA"/>
              </w:rPr>
            </w:pPr>
            <w:r>
              <w:rPr>
                <w:sz w:val="20"/>
                <w:lang w:val="fr-CA"/>
              </w:rPr>
              <w:t>985 ms</w:t>
            </w:r>
          </w:p>
        </w:tc>
        <w:tc>
          <w:tcPr>
            <w:tcW w:w="1556" w:type="dxa"/>
            <w:shd w:val="clear" w:color="auto" w:fill="auto"/>
          </w:tcPr>
          <w:p w:rsidR="00587140" w:rsidRDefault="009849D1">
            <w:pPr>
              <w:spacing w:after="0" w:line="240" w:lineRule="auto"/>
              <w:jc w:val="both"/>
              <w:rPr>
                <w:sz w:val="20"/>
                <w:lang w:val="fr-CA"/>
              </w:rPr>
            </w:pPr>
            <w:r>
              <w:rPr>
                <w:sz w:val="20"/>
                <w:lang w:val="fr-CA"/>
              </w:rPr>
              <w:t>839 ms</w:t>
            </w:r>
          </w:p>
        </w:tc>
        <w:tc>
          <w:tcPr>
            <w:tcW w:w="1559" w:type="dxa"/>
            <w:shd w:val="clear" w:color="auto" w:fill="auto"/>
          </w:tcPr>
          <w:p w:rsidR="00587140" w:rsidRDefault="009849D1">
            <w:pPr>
              <w:spacing w:after="0" w:line="240" w:lineRule="auto"/>
              <w:jc w:val="both"/>
              <w:rPr>
                <w:sz w:val="20"/>
                <w:lang w:val="fr-CA"/>
              </w:rPr>
            </w:pPr>
            <w:r>
              <w:rPr>
                <w:sz w:val="20"/>
                <w:lang w:val="fr-CA"/>
              </w:rPr>
              <w:t>1050 ms</w:t>
            </w:r>
          </w:p>
        </w:tc>
        <w:tc>
          <w:tcPr>
            <w:tcW w:w="1560" w:type="dxa"/>
            <w:shd w:val="clear" w:color="auto" w:fill="auto"/>
          </w:tcPr>
          <w:p w:rsidR="00587140" w:rsidRDefault="009849D1">
            <w:pPr>
              <w:spacing w:after="0" w:line="240" w:lineRule="auto"/>
              <w:jc w:val="both"/>
              <w:rPr>
                <w:sz w:val="20"/>
                <w:lang w:val="fr-CA"/>
              </w:rPr>
            </w:pPr>
            <w:r>
              <w:rPr>
                <w:sz w:val="20"/>
                <w:lang w:val="fr-CA"/>
              </w:rPr>
              <w:t>980 ms</w:t>
            </w:r>
          </w:p>
        </w:tc>
      </w:tr>
      <w:tr w:rsidR="00587140">
        <w:tc>
          <w:tcPr>
            <w:tcW w:w="1558" w:type="dxa"/>
            <w:shd w:val="clear" w:color="auto" w:fill="auto"/>
          </w:tcPr>
          <w:p w:rsidR="00587140" w:rsidRDefault="009849D1">
            <w:pPr>
              <w:spacing w:after="0" w:line="240" w:lineRule="auto"/>
              <w:jc w:val="both"/>
              <w:rPr>
                <w:sz w:val="20"/>
                <w:lang w:val="fr-CA"/>
              </w:rPr>
            </w:pPr>
            <w:r>
              <w:rPr>
                <w:sz w:val="20"/>
                <w:lang w:val="fr-CA"/>
              </w:rPr>
              <w:t>4 serveurs</w:t>
            </w:r>
          </w:p>
        </w:tc>
        <w:tc>
          <w:tcPr>
            <w:tcW w:w="1558" w:type="dxa"/>
            <w:shd w:val="clear" w:color="auto" w:fill="auto"/>
          </w:tcPr>
          <w:p w:rsidR="00587140" w:rsidRDefault="009849D1">
            <w:pPr>
              <w:spacing w:after="0" w:line="240" w:lineRule="auto"/>
              <w:jc w:val="both"/>
              <w:rPr>
                <w:sz w:val="20"/>
                <w:lang w:val="fr-CA"/>
              </w:rPr>
            </w:pPr>
            <w:r>
              <w:rPr>
                <w:sz w:val="20"/>
                <w:lang w:val="fr-CA"/>
              </w:rPr>
              <w:t>940 ms</w:t>
            </w:r>
          </w:p>
        </w:tc>
        <w:tc>
          <w:tcPr>
            <w:tcW w:w="1558" w:type="dxa"/>
            <w:shd w:val="clear" w:color="auto" w:fill="auto"/>
          </w:tcPr>
          <w:p w:rsidR="00587140" w:rsidRDefault="009849D1">
            <w:pPr>
              <w:spacing w:after="0" w:line="240" w:lineRule="auto"/>
              <w:jc w:val="both"/>
              <w:rPr>
                <w:sz w:val="20"/>
                <w:lang w:val="fr-CA"/>
              </w:rPr>
            </w:pPr>
            <w:r>
              <w:rPr>
                <w:sz w:val="20"/>
                <w:lang w:val="fr-CA"/>
              </w:rPr>
              <w:t>981 ms</w:t>
            </w:r>
          </w:p>
        </w:tc>
        <w:tc>
          <w:tcPr>
            <w:tcW w:w="1556" w:type="dxa"/>
            <w:shd w:val="clear" w:color="auto" w:fill="auto"/>
          </w:tcPr>
          <w:p w:rsidR="00587140" w:rsidRDefault="009849D1">
            <w:pPr>
              <w:spacing w:after="0" w:line="240" w:lineRule="auto"/>
              <w:jc w:val="both"/>
              <w:rPr>
                <w:sz w:val="20"/>
                <w:lang w:val="fr-CA"/>
              </w:rPr>
            </w:pPr>
            <w:r>
              <w:rPr>
                <w:sz w:val="20"/>
                <w:lang w:val="fr-CA"/>
              </w:rPr>
              <w:t>780 ms</w:t>
            </w:r>
          </w:p>
        </w:tc>
        <w:tc>
          <w:tcPr>
            <w:tcW w:w="1559" w:type="dxa"/>
            <w:shd w:val="clear" w:color="auto" w:fill="auto"/>
          </w:tcPr>
          <w:p w:rsidR="00587140" w:rsidRDefault="009849D1">
            <w:pPr>
              <w:spacing w:after="0" w:line="240" w:lineRule="auto"/>
              <w:jc w:val="both"/>
              <w:rPr>
                <w:sz w:val="20"/>
                <w:lang w:val="fr-CA"/>
              </w:rPr>
            </w:pPr>
            <w:r>
              <w:rPr>
                <w:sz w:val="20"/>
                <w:lang w:val="fr-CA"/>
              </w:rPr>
              <w:t>870 ms</w:t>
            </w:r>
          </w:p>
        </w:tc>
        <w:tc>
          <w:tcPr>
            <w:tcW w:w="1560" w:type="dxa"/>
            <w:shd w:val="clear" w:color="auto" w:fill="auto"/>
          </w:tcPr>
          <w:p w:rsidR="00587140" w:rsidRDefault="009849D1">
            <w:pPr>
              <w:spacing w:after="0" w:line="240" w:lineRule="auto"/>
              <w:jc w:val="both"/>
              <w:rPr>
                <w:sz w:val="20"/>
                <w:lang w:val="fr-CA"/>
              </w:rPr>
            </w:pPr>
            <w:r>
              <w:rPr>
                <w:sz w:val="20"/>
                <w:lang w:val="fr-CA"/>
              </w:rPr>
              <w:t>970 ms</w:t>
            </w:r>
          </w:p>
        </w:tc>
      </w:tr>
    </w:tbl>
    <w:p w:rsidR="00587140" w:rsidRDefault="009849D1">
      <w:pPr>
        <w:jc w:val="both"/>
        <w:rPr>
          <w:sz w:val="20"/>
          <w:lang w:val="fr-CA"/>
        </w:rPr>
      </w:pPr>
      <w:r>
        <w:rPr>
          <w:sz w:val="20"/>
          <w:lang w:val="fr-CA"/>
        </w:rPr>
        <w:t>Tableau 1 : Temps d’opérations selon le nombre de serveur</w:t>
      </w:r>
    </w:p>
    <w:p w:rsidR="00587140" w:rsidRDefault="009849D1">
      <w:pPr>
        <w:jc w:val="both"/>
        <w:rPr>
          <w:sz w:val="20"/>
          <w:lang w:val="fr-CA"/>
        </w:rPr>
      </w:pPr>
      <w:r>
        <w:rPr>
          <w:noProof/>
        </w:rPr>
        <w:drawing>
          <wp:inline distT="0" distB="0" distL="0" distR="0">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87140" w:rsidRDefault="009849D1">
      <w:pPr>
        <w:jc w:val="both"/>
        <w:rPr>
          <w:sz w:val="20"/>
          <w:lang w:val="fr-CA"/>
        </w:rPr>
      </w:pPr>
      <w:proofErr w:type="spellStart"/>
      <w:r>
        <w:rPr>
          <w:sz w:val="20"/>
          <w:lang w:val="fr-CA"/>
        </w:rPr>
        <w:t>Fig</w:t>
      </w:r>
      <w:proofErr w:type="spellEnd"/>
      <w:r>
        <w:rPr>
          <w:sz w:val="20"/>
          <w:lang w:val="fr-CA"/>
        </w:rPr>
        <w:t xml:space="preserve"> 1 : Temps d’exécution selon le nombre de serveur</w:t>
      </w:r>
    </w:p>
    <w:p w:rsidR="00587140" w:rsidRDefault="009849D1">
      <w:pPr>
        <w:jc w:val="both"/>
        <w:rPr>
          <w:sz w:val="20"/>
          <w:lang w:val="fr-CA"/>
        </w:rPr>
      </w:pPr>
      <w:r>
        <w:rPr>
          <w:sz w:val="20"/>
          <w:lang w:val="fr-CA"/>
        </w:rPr>
        <w:lastRenderedPageBreak/>
        <w:t xml:space="preserve">De manière générale, on remarque que le </w:t>
      </w:r>
      <w:r>
        <w:rPr>
          <w:sz w:val="20"/>
          <w:lang w:val="fr-CA"/>
        </w:rPr>
        <w:t>temps de calcul augmente avec la quantité de serveurs disponibles. Ceci s’explique de deux manières. D’abord, la gestion d’un plus grand nombre de serveurs par le distributeur augmente le nécessaire à la distribution, ce qui correspond au coût de l’indirec</w:t>
      </w:r>
      <w:r>
        <w:rPr>
          <w:sz w:val="20"/>
          <w:lang w:val="fr-CA"/>
        </w:rPr>
        <w:t>tion. Ensuite, puisque nous avons implémenté un système qui envoie le maximum possible de calculs au serveur le plus disponible, la parallélisation implémentée est sous-optimale lorsque les calculs nécessaires ne dépassent pas de façon significative les ca</w:t>
      </w:r>
      <w:r>
        <w:rPr>
          <w:sz w:val="20"/>
          <w:lang w:val="fr-CA"/>
        </w:rPr>
        <w:t>pacités individuelles des nœuds de calcul, puisqu’il est fort probable dans le cas contraire qu’un seul nœud effectue la majeure partie des opérations à lui seul, ce qui ne tire pas avantage de l’ensemble du réseau distribué.</w:t>
      </w:r>
    </w:p>
    <w:p w:rsidR="00587140" w:rsidRDefault="00587140">
      <w:pPr>
        <w:jc w:val="both"/>
        <w:rPr>
          <w:sz w:val="20"/>
          <w:lang w:val="fr-CA"/>
        </w:rPr>
      </w:pPr>
    </w:p>
    <w:p w:rsidR="00587140" w:rsidRDefault="009849D1">
      <w:pPr>
        <w:jc w:val="both"/>
        <w:rPr>
          <w:sz w:val="20"/>
          <w:u w:val="single"/>
          <w:lang w:val="fr-CA"/>
        </w:rPr>
      </w:pPr>
      <w:r>
        <w:rPr>
          <w:sz w:val="20"/>
          <w:u w:val="single"/>
          <w:lang w:val="fr-CA"/>
        </w:rPr>
        <w:t>Mode non-sécurisé</w:t>
      </w:r>
    </w:p>
    <w:tbl>
      <w:tblPr>
        <w:tblStyle w:val="Grilledutableau"/>
        <w:tblW w:w="9350" w:type="dxa"/>
        <w:tblLook w:val="04A0" w:firstRow="1" w:lastRow="0" w:firstColumn="1" w:lastColumn="0" w:noHBand="0" w:noVBand="1"/>
      </w:tblPr>
      <w:tblGrid>
        <w:gridCol w:w="1697"/>
        <w:gridCol w:w="1420"/>
        <w:gridCol w:w="1558"/>
        <w:gridCol w:w="1557"/>
        <w:gridCol w:w="1560"/>
        <w:gridCol w:w="1558"/>
      </w:tblGrid>
      <w:tr w:rsidR="00587140" w:rsidTr="002723E6">
        <w:tc>
          <w:tcPr>
            <w:tcW w:w="1697" w:type="dxa"/>
            <w:shd w:val="clear" w:color="auto" w:fill="auto"/>
          </w:tcPr>
          <w:p w:rsidR="00587140" w:rsidRDefault="00587140">
            <w:pPr>
              <w:spacing w:after="0" w:line="240" w:lineRule="auto"/>
              <w:jc w:val="both"/>
              <w:rPr>
                <w:sz w:val="20"/>
                <w:lang w:val="fr-CA"/>
              </w:rPr>
            </w:pPr>
          </w:p>
        </w:tc>
        <w:tc>
          <w:tcPr>
            <w:tcW w:w="1420" w:type="dxa"/>
            <w:shd w:val="clear" w:color="auto" w:fill="auto"/>
          </w:tcPr>
          <w:p w:rsidR="00587140" w:rsidRDefault="009849D1">
            <w:pPr>
              <w:spacing w:after="0" w:line="240" w:lineRule="auto"/>
              <w:jc w:val="both"/>
              <w:rPr>
                <w:sz w:val="20"/>
                <w:lang w:val="fr-CA"/>
              </w:rPr>
            </w:pPr>
            <w:r>
              <w:rPr>
                <w:sz w:val="20"/>
                <w:lang w:val="fr-CA"/>
              </w:rPr>
              <w:t>Op-588</w:t>
            </w:r>
          </w:p>
        </w:tc>
        <w:tc>
          <w:tcPr>
            <w:tcW w:w="1558" w:type="dxa"/>
            <w:shd w:val="clear" w:color="auto" w:fill="auto"/>
          </w:tcPr>
          <w:p w:rsidR="00587140" w:rsidRDefault="009849D1">
            <w:pPr>
              <w:spacing w:after="0" w:line="240" w:lineRule="auto"/>
              <w:jc w:val="both"/>
              <w:rPr>
                <w:sz w:val="20"/>
                <w:lang w:val="fr-CA"/>
              </w:rPr>
            </w:pPr>
            <w:r>
              <w:rPr>
                <w:sz w:val="20"/>
                <w:lang w:val="fr-CA"/>
              </w:rPr>
              <w:t>Op-1949</w:t>
            </w:r>
          </w:p>
        </w:tc>
        <w:tc>
          <w:tcPr>
            <w:tcW w:w="1557" w:type="dxa"/>
            <w:shd w:val="clear" w:color="auto" w:fill="auto"/>
          </w:tcPr>
          <w:p w:rsidR="00587140" w:rsidRDefault="009849D1">
            <w:pPr>
              <w:spacing w:after="0" w:line="240" w:lineRule="auto"/>
              <w:jc w:val="both"/>
              <w:rPr>
                <w:sz w:val="20"/>
                <w:lang w:val="fr-CA"/>
              </w:rPr>
            </w:pPr>
            <w:r>
              <w:rPr>
                <w:sz w:val="20"/>
                <w:lang w:val="fr-CA"/>
              </w:rPr>
              <w:t>Op-2809</w:t>
            </w:r>
          </w:p>
        </w:tc>
        <w:tc>
          <w:tcPr>
            <w:tcW w:w="1560" w:type="dxa"/>
            <w:shd w:val="clear" w:color="auto" w:fill="auto"/>
          </w:tcPr>
          <w:p w:rsidR="00587140" w:rsidRDefault="009849D1">
            <w:pPr>
              <w:spacing w:after="0" w:line="240" w:lineRule="auto"/>
              <w:jc w:val="both"/>
              <w:rPr>
                <w:sz w:val="20"/>
                <w:lang w:val="fr-CA"/>
              </w:rPr>
            </w:pPr>
            <w:r>
              <w:rPr>
                <w:sz w:val="20"/>
                <w:lang w:val="fr-CA"/>
              </w:rPr>
              <w:t>Op-3216</w:t>
            </w:r>
          </w:p>
        </w:tc>
        <w:tc>
          <w:tcPr>
            <w:tcW w:w="1558" w:type="dxa"/>
            <w:shd w:val="clear" w:color="auto" w:fill="auto"/>
          </w:tcPr>
          <w:p w:rsidR="00587140" w:rsidRDefault="009849D1">
            <w:pPr>
              <w:spacing w:after="0" w:line="240" w:lineRule="auto"/>
              <w:jc w:val="both"/>
              <w:rPr>
                <w:sz w:val="20"/>
                <w:lang w:val="fr-CA"/>
              </w:rPr>
            </w:pPr>
            <w:r>
              <w:rPr>
                <w:sz w:val="20"/>
                <w:lang w:val="fr-CA"/>
              </w:rPr>
              <w:t>Op-1481</w:t>
            </w:r>
          </w:p>
        </w:tc>
      </w:tr>
      <w:tr w:rsidR="00587140" w:rsidTr="002723E6">
        <w:tc>
          <w:tcPr>
            <w:tcW w:w="1697" w:type="dxa"/>
            <w:shd w:val="clear" w:color="auto" w:fill="auto"/>
          </w:tcPr>
          <w:p w:rsidR="00587140" w:rsidRDefault="009849D1">
            <w:pPr>
              <w:spacing w:after="0" w:line="240" w:lineRule="auto"/>
              <w:jc w:val="both"/>
              <w:rPr>
                <w:sz w:val="20"/>
                <w:lang w:val="fr-CA"/>
              </w:rPr>
            </w:pPr>
            <w:r>
              <w:rPr>
                <w:sz w:val="20"/>
                <w:lang w:val="fr-CA"/>
              </w:rPr>
              <w:t>3 serveurs fiables</w:t>
            </w:r>
          </w:p>
        </w:tc>
        <w:tc>
          <w:tcPr>
            <w:tcW w:w="1420" w:type="dxa"/>
            <w:shd w:val="clear" w:color="auto" w:fill="auto"/>
          </w:tcPr>
          <w:p w:rsidR="00587140" w:rsidRDefault="009849D1">
            <w:pPr>
              <w:spacing w:after="0" w:line="240" w:lineRule="auto"/>
              <w:jc w:val="both"/>
              <w:rPr>
                <w:sz w:val="20"/>
                <w:lang w:val="fr-CA"/>
              </w:rPr>
            </w:pPr>
            <w:r>
              <w:rPr>
                <w:sz w:val="20"/>
                <w:lang w:val="fr-CA"/>
              </w:rPr>
              <w:t>1431 ms</w:t>
            </w:r>
          </w:p>
        </w:tc>
        <w:tc>
          <w:tcPr>
            <w:tcW w:w="1558" w:type="dxa"/>
            <w:shd w:val="clear" w:color="auto" w:fill="auto"/>
          </w:tcPr>
          <w:p w:rsidR="00587140" w:rsidRDefault="009849D1">
            <w:pPr>
              <w:spacing w:after="0" w:line="240" w:lineRule="auto"/>
              <w:jc w:val="both"/>
              <w:rPr>
                <w:sz w:val="20"/>
                <w:lang w:val="fr-CA"/>
              </w:rPr>
            </w:pPr>
            <w:r>
              <w:rPr>
                <w:sz w:val="20"/>
                <w:lang w:val="fr-CA"/>
              </w:rPr>
              <w:t>1506 ms</w:t>
            </w:r>
          </w:p>
        </w:tc>
        <w:tc>
          <w:tcPr>
            <w:tcW w:w="1557" w:type="dxa"/>
            <w:shd w:val="clear" w:color="auto" w:fill="auto"/>
          </w:tcPr>
          <w:p w:rsidR="00587140" w:rsidRDefault="009849D1">
            <w:pPr>
              <w:spacing w:after="0" w:line="240" w:lineRule="auto"/>
              <w:jc w:val="both"/>
              <w:rPr>
                <w:sz w:val="20"/>
                <w:lang w:val="fr-CA"/>
              </w:rPr>
            </w:pPr>
            <w:r>
              <w:rPr>
                <w:sz w:val="20"/>
                <w:lang w:val="fr-CA"/>
              </w:rPr>
              <w:t>1290 ms</w:t>
            </w:r>
          </w:p>
        </w:tc>
        <w:tc>
          <w:tcPr>
            <w:tcW w:w="1560" w:type="dxa"/>
            <w:shd w:val="clear" w:color="auto" w:fill="auto"/>
          </w:tcPr>
          <w:p w:rsidR="00587140" w:rsidRDefault="009849D1">
            <w:pPr>
              <w:spacing w:after="0" w:line="240" w:lineRule="auto"/>
              <w:jc w:val="both"/>
              <w:rPr>
                <w:sz w:val="20"/>
                <w:lang w:val="fr-CA"/>
              </w:rPr>
            </w:pPr>
            <w:r>
              <w:rPr>
                <w:sz w:val="20"/>
                <w:lang w:val="fr-CA"/>
              </w:rPr>
              <w:t>1426 ms</w:t>
            </w:r>
          </w:p>
        </w:tc>
        <w:tc>
          <w:tcPr>
            <w:tcW w:w="1558" w:type="dxa"/>
            <w:shd w:val="clear" w:color="auto" w:fill="auto"/>
          </w:tcPr>
          <w:p w:rsidR="00587140" w:rsidRDefault="009849D1">
            <w:pPr>
              <w:spacing w:after="0" w:line="240" w:lineRule="auto"/>
              <w:jc w:val="both"/>
              <w:rPr>
                <w:sz w:val="20"/>
                <w:lang w:val="fr-CA"/>
              </w:rPr>
            </w:pPr>
            <w:r>
              <w:rPr>
                <w:sz w:val="20"/>
                <w:lang w:val="fr-CA"/>
              </w:rPr>
              <w:t>1526 ms</w:t>
            </w:r>
          </w:p>
        </w:tc>
      </w:tr>
      <w:tr w:rsidR="00587140" w:rsidTr="002723E6">
        <w:trPr>
          <w:trHeight w:val="463"/>
        </w:trPr>
        <w:tc>
          <w:tcPr>
            <w:tcW w:w="1697" w:type="dxa"/>
            <w:shd w:val="clear" w:color="auto" w:fill="auto"/>
          </w:tcPr>
          <w:p w:rsidR="00587140" w:rsidRDefault="009849D1">
            <w:pPr>
              <w:spacing w:after="0" w:line="240" w:lineRule="auto"/>
              <w:rPr>
                <w:sz w:val="20"/>
                <w:lang w:val="fr-CA"/>
              </w:rPr>
            </w:pPr>
            <w:r>
              <w:rPr>
                <w:sz w:val="20"/>
                <w:lang w:val="fr-CA"/>
              </w:rPr>
              <w:t>2 serveurs fiables</w:t>
            </w:r>
          </w:p>
          <w:p w:rsidR="00587140" w:rsidRDefault="009849D1">
            <w:pPr>
              <w:spacing w:after="0" w:line="240" w:lineRule="auto"/>
              <w:rPr>
                <w:sz w:val="20"/>
                <w:lang w:val="fr-CA"/>
              </w:rPr>
            </w:pPr>
            <w:r>
              <w:rPr>
                <w:sz w:val="20"/>
                <w:lang w:val="fr-CA"/>
              </w:rPr>
              <w:t>1 serveur malicieux 50%</w:t>
            </w:r>
          </w:p>
        </w:tc>
        <w:tc>
          <w:tcPr>
            <w:tcW w:w="1420" w:type="dxa"/>
            <w:shd w:val="clear" w:color="auto" w:fill="auto"/>
          </w:tcPr>
          <w:p w:rsidR="00587140" w:rsidRDefault="009D09EC">
            <w:pPr>
              <w:spacing w:after="0" w:line="240" w:lineRule="auto"/>
              <w:jc w:val="both"/>
              <w:rPr>
                <w:sz w:val="20"/>
                <w:lang w:val="fr-CA"/>
              </w:rPr>
            </w:pPr>
            <w:r>
              <w:rPr>
                <w:sz w:val="20"/>
                <w:lang w:val="fr-CA"/>
              </w:rPr>
              <w:t>1810 ms</w:t>
            </w:r>
          </w:p>
        </w:tc>
        <w:tc>
          <w:tcPr>
            <w:tcW w:w="1558" w:type="dxa"/>
            <w:shd w:val="clear" w:color="auto" w:fill="auto"/>
          </w:tcPr>
          <w:p w:rsidR="00587140" w:rsidRDefault="009D09EC">
            <w:pPr>
              <w:spacing w:after="0" w:line="240" w:lineRule="auto"/>
              <w:jc w:val="both"/>
              <w:rPr>
                <w:sz w:val="20"/>
                <w:lang w:val="fr-CA"/>
              </w:rPr>
            </w:pPr>
            <w:r>
              <w:rPr>
                <w:sz w:val="20"/>
                <w:lang w:val="fr-CA"/>
              </w:rPr>
              <w:t>1912 ms</w:t>
            </w:r>
          </w:p>
        </w:tc>
        <w:tc>
          <w:tcPr>
            <w:tcW w:w="1557" w:type="dxa"/>
            <w:shd w:val="clear" w:color="auto" w:fill="auto"/>
          </w:tcPr>
          <w:p w:rsidR="00587140" w:rsidRDefault="009D09EC">
            <w:pPr>
              <w:spacing w:after="0" w:line="240" w:lineRule="auto"/>
              <w:jc w:val="both"/>
              <w:rPr>
                <w:sz w:val="20"/>
                <w:lang w:val="fr-CA"/>
              </w:rPr>
            </w:pPr>
            <w:r>
              <w:rPr>
                <w:sz w:val="20"/>
                <w:lang w:val="fr-CA"/>
              </w:rPr>
              <w:t>1689 ms</w:t>
            </w:r>
          </w:p>
        </w:tc>
        <w:tc>
          <w:tcPr>
            <w:tcW w:w="1560" w:type="dxa"/>
            <w:shd w:val="clear" w:color="auto" w:fill="auto"/>
          </w:tcPr>
          <w:p w:rsidR="00587140" w:rsidRDefault="009D09EC">
            <w:pPr>
              <w:spacing w:after="0" w:line="240" w:lineRule="auto"/>
              <w:jc w:val="both"/>
              <w:rPr>
                <w:sz w:val="20"/>
                <w:lang w:val="fr-CA"/>
              </w:rPr>
            </w:pPr>
            <w:r>
              <w:rPr>
                <w:sz w:val="20"/>
                <w:lang w:val="fr-CA"/>
              </w:rPr>
              <w:t>1937 ms</w:t>
            </w:r>
          </w:p>
        </w:tc>
        <w:tc>
          <w:tcPr>
            <w:tcW w:w="1558" w:type="dxa"/>
            <w:shd w:val="clear" w:color="auto" w:fill="auto"/>
          </w:tcPr>
          <w:p w:rsidR="00587140" w:rsidRDefault="009D09EC">
            <w:pPr>
              <w:spacing w:after="0" w:line="240" w:lineRule="auto"/>
              <w:jc w:val="both"/>
              <w:rPr>
                <w:sz w:val="20"/>
                <w:lang w:val="fr-CA"/>
              </w:rPr>
            </w:pPr>
            <w:r>
              <w:rPr>
                <w:sz w:val="20"/>
                <w:lang w:val="fr-CA"/>
              </w:rPr>
              <w:t>1828 ms</w:t>
            </w:r>
          </w:p>
        </w:tc>
      </w:tr>
      <w:tr w:rsidR="00587140" w:rsidTr="002723E6">
        <w:tc>
          <w:tcPr>
            <w:tcW w:w="1697" w:type="dxa"/>
            <w:shd w:val="clear" w:color="auto" w:fill="auto"/>
          </w:tcPr>
          <w:p w:rsidR="00587140" w:rsidRDefault="009849D1">
            <w:pPr>
              <w:spacing w:after="0" w:line="240" w:lineRule="auto"/>
              <w:rPr>
                <w:sz w:val="20"/>
                <w:lang w:val="fr-CA"/>
              </w:rPr>
            </w:pPr>
            <w:r>
              <w:rPr>
                <w:sz w:val="20"/>
                <w:lang w:val="fr-CA"/>
              </w:rPr>
              <w:t>2 serveurs fiables</w:t>
            </w:r>
          </w:p>
          <w:p w:rsidR="00587140" w:rsidRDefault="009849D1">
            <w:pPr>
              <w:spacing w:after="0" w:line="240" w:lineRule="auto"/>
              <w:rPr>
                <w:sz w:val="20"/>
                <w:lang w:val="fr-CA"/>
              </w:rPr>
            </w:pPr>
            <w:r>
              <w:rPr>
                <w:sz w:val="20"/>
                <w:lang w:val="fr-CA"/>
              </w:rPr>
              <w:t>1 serveur malicieux 75%</w:t>
            </w:r>
          </w:p>
        </w:tc>
        <w:tc>
          <w:tcPr>
            <w:tcW w:w="1420" w:type="dxa"/>
            <w:shd w:val="clear" w:color="auto" w:fill="auto"/>
          </w:tcPr>
          <w:p w:rsidR="00587140" w:rsidRDefault="009D09EC">
            <w:pPr>
              <w:spacing w:after="0" w:line="240" w:lineRule="auto"/>
              <w:jc w:val="both"/>
              <w:rPr>
                <w:sz w:val="20"/>
                <w:lang w:val="fr-CA"/>
              </w:rPr>
            </w:pPr>
            <w:r>
              <w:rPr>
                <w:sz w:val="20"/>
                <w:lang w:val="fr-CA"/>
              </w:rPr>
              <w:t>2147 ms</w:t>
            </w:r>
          </w:p>
        </w:tc>
        <w:tc>
          <w:tcPr>
            <w:tcW w:w="1558" w:type="dxa"/>
            <w:shd w:val="clear" w:color="auto" w:fill="auto"/>
          </w:tcPr>
          <w:p w:rsidR="00587140" w:rsidRDefault="009D09EC">
            <w:pPr>
              <w:spacing w:after="0" w:line="240" w:lineRule="auto"/>
              <w:jc w:val="both"/>
              <w:rPr>
                <w:sz w:val="20"/>
                <w:lang w:val="fr-CA"/>
              </w:rPr>
            </w:pPr>
            <w:r>
              <w:rPr>
                <w:sz w:val="20"/>
                <w:lang w:val="fr-CA"/>
              </w:rPr>
              <w:t>22</w:t>
            </w:r>
            <w:r w:rsidR="00BD76A8">
              <w:rPr>
                <w:sz w:val="20"/>
                <w:lang w:val="fr-CA"/>
              </w:rPr>
              <w:t>7</w:t>
            </w:r>
            <w:r>
              <w:rPr>
                <w:sz w:val="20"/>
                <w:lang w:val="fr-CA"/>
              </w:rPr>
              <w:t>6 ms</w:t>
            </w:r>
          </w:p>
        </w:tc>
        <w:tc>
          <w:tcPr>
            <w:tcW w:w="1557" w:type="dxa"/>
            <w:shd w:val="clear" w:color="auto" w:fill="auto"/>
          </w:tcPr>
          <w:p w:rsidR="00587140" w:rsidRDefault="009D09EC">
            <w:pPr>
              <w:spacing w:after="0" w:line="240" w:lineRule="auto"/>
              <w:jc w:val="both"/>
              <w:rPr>
                <w:sz w:val="20"/>
                <w:lang w:val="fr-CA"/>
              </w:rPr>
            </w:pPr>
            <w:r>
              <w:rPr>
                <w:sz w:val="20"/>
                <w:lang w:val="fr-CA"/>
              </w:rPr>
              <w:t>2001 ms</w:t>
            </w:r>
          </w:p>
        </w:tc>
        <w:tc>
          <w:tcPr>
            <w:tcW w:w="1560" w:type="dxa"/>
            <w:shd w:val="clear" w:color="auto" w:fill="auto"/>
          </w:tcPr>
          <w:p w:rsidR="00587140" w:rsidRDefault="009D09EC">
            <w:pPr>
              <w:spacing w:after="0" w:line="240" w:lineRule="auto"/>
              <w:jc w:val="both"/>
              <w:rPr>
                <w:sz w:val="20"/>
                <w:lang w:val="fr-CA"/>
              </w:rPr>
            </w:pPr>
            <w:r>
              <w:rPr>
                <w:sz w:val="20"/>
                <w:lang w:val="fr-CA"/>
              </w:rPr>
              <w:t>2192 ms</w:t>
            </w:r>
          </w:p>
        </w:tc>
        <w:tc>
          <w:tcPr>
            <w:tcW w:w="1558" w:type="dxa"/>
            <w:shd w:val="clear" w:color="auto" w:fill="auto"/>
          </w:tcPr>
          <w:p w:rsidR="00587140" w:rsidRDefault="009D09EC">
            <w:pPr>
              <w:spacing w:after="0" w:line="240" w:lineRule="auto"/>
              <w:jc w:val="both"/>
              <w:rPr>
                <w:sz w:val="20"/>
                <w:lang w:val="fr-CA"/>
              </w:rPr>
            </w:pPr>
            <w:r>
              <w:rPr>
                <w:sz w:val="20"/>
                <w:lang w:val="fr-CA"/>
              </w:rPr>
              <w:t>2298 ms</w:t>
            </w:r>
          </w:p>
        </w:tc>
      </w:tr>
    </w:tbl>
    <w:p w:rsidR="00587140" w:rsidRDefault="002723E6">
      <w:pPr>
        <w:jc w:val="both"/>
        <w:rPr>
          <w:sz w:val="20"/>
          <w:u w:val="single"/>
          <w:lang w:val="fr-CA"/>
        </w:rPr>
      </w:pPr>
      <w:r>
        <w:rPr>
          <w:noProof/>
        </w:rPr>
        <w:drawing>
          <wp:inline distT="0" distB="0" distL="0" distR="0" wp14:anchorId="2866347F" wp14:editId="2723B846">
            <wp:extent cx="5095875" cy="2876550"/>
            <wp:effectExtent l="0" t="0" r="9525" b="0"/>
            <wp:docPr id="3" name="Graphique 3">
              <a:extLst xmlns:a="http://schemas.openxmlformats.org/drawingml/2006/main">
                <a:ext uri="{FF2B5EF4-FFF2-40B4-BE49-F238E27FC236}">
                  <a16:creationId xmlns:a16="http://schemas.microsoft.com/office/drawing/2014/main" id="{F86E16C2-7232-44AC-84FA-D04C0600DB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723E6" w:rsidRDefault="002723E6">
      <w:pPr>
        <w:jc w:val="both"/>
        <w:rPr>
          <w:sz w:val="20"/>
          <w:u w:val="single"/>
          <w:lang w:val="fr-CA"/>
        </w:rPr>
      </w:pPr>
      <w:proofErr w:type="spellStart"/>
      <w:r>
        <w:rPr>
          <w:sz w:val="20"/>
          <w:u w:val="single"/>
          <w:lang w:val="fr-CA"/>
        </w:rPr>
        <w:t>Fig</w:t>
      </w:r>
      <w:proofErr w:type="spellEnd"/>
      <w:r>
        <w:rPr>
          <w:sz w:val="20"/>
          <w:u w:val="single"/>
          <w:lang w:val="fr-CA"/>
        </w:rPr>
        <w:t xml:space="preserve"> 2 : Temps d’exécution selon la malice des serveurs en mode sécurisé</w:t>
      </w:r>
    </w:p>
    <w:p w:rsidR="002723E6" w:rsidRPr="00127EE0" w:rsidRDefault="00127EE0">
      <w:pPr>
        <w:jc w:val="both"/>
        <w:rPr>
          <w:sz w:val="20"/>
          <w:lang w:val="fr-CA"/>
        </w:rPr>
      </w:pPr>
      <w:r>
        <w:rPr>
          <w:sz w:val="20"/>
          <w:lang w:val="fr-CA"/>
        </w:rPr>
        <w:t xml:space="preserve">On remarque que plus les serveurs de calcul sont malicieux, plus le temps d’exécution est long. </w:t>
      </w:r>
      <w:r w:rsidR="003E628E">
        <w:rPr>
          <w:sz w:val="20"/>
          <w:lang w:val="fr-CA"/>
        </w:rPr>
        <w:t>Nos données expérimentales nous suggèrent que cette corrélation est croissante et linéaire avec le niveau de malice des serveurs de calcul. Ceci s’explique par la nécessité de refaire un certain nombre d’opérations lorsque le résultat obtenu est erroné, ce qui allonge le temps de calcul.</w:t>
      </w:r>
      <w:bookmarkStart w:id="0" w:name="_GoBack"/>
      <w:bookmarkEnd w:id="0"/>
    </w:p>
    <w:p w:rsidR="00587140" w:rsidRDefault="00587140">
      <w:pPr>
        <w:jc w:val="both"/>
        <w:rPr>
          <w:sz w:val="20"/>
          <w:lang w:val="fr-CA"/>
        </w:rPr>
      </w:pPr>
    </w:p>
    <w:p w:rsidR="00587140" w:rsidRPr="009D09EC" w:rsidRDefault="009849D1">
      <w:pPr>
        <w:jc w:val="both"/>
        <w:rPr>
          <w:lang w:val="fr-CA"/>
        </w:rPr>
      </w:pPr>
      <w:r>
        <w:rPr>
          <w:sz w:val="20"/>
          <w:u w:val="single"/>
          <w:lang w:val="fr-CA"/>
        </w:rPr>
        <w:t>Que</w:t>
      </w:r>
      <w:r>
        <w:rPr>
          <w:sz w:val="20"/>
          <w:u w:val="single"/>
          <w:lang w:val="fr-CA"/>
        </w:rPr>
        <w:t>stions de réflexion</w:t>
      </w:r>
    </w:p>
    <w:p w:rsidR="00587140" w:rsidRDefault="009849D1">
      <w:pPr>
        <w:jc w:val="both"/>
        <w:rPr>
          <w:sz w:val="20"/>
          <w:lang w:val="fr-CA"/>
        </w:rPr>
      </w:pPr>
      <w:r>
        <w:rPr>
          <w:sz w:val="20"/>
          <w:lang w:val="fr-CA"/>
        </w:rPr>
        <w:t xml:space="preserve">Comme c’est le répartiteur qui conserve les données de calcul et de répartition, le système est sensible aux pannes qui pourraient survenir sur le serveur sur lequel est exécuté le répartiteur. Afin de pallier en partie à cette </w:t>
      </w:r>
      <w:r>
        <w:rPr>
          <w:sz w:val="20"/>
          <w:lang w:val="fr-CA"/>
        </w:rPr>
        <w:t xml:space="preserve">lacune, une solution serait d’avoir de la redondance en incorporant un second serveur de répartition qui serait en attente </w:t>
      </w:r>
      <w:r>
        <w:rPr>
          <w:sz w:val="20"/>
          <w:lang w:val="fr-CA"/>
        </w:rPr>
        <w:lastRenderedPageBreak/>
        <w:t>de défaillance du premier et qui recevrait les données nécessaires à la répartition des opérations (mode esclave). Il pourrait envoye</w:t>
      </w:r>
      <w:r>
        <w:rPr>
          <w:sz w:val="20"/>
          <w:lang w:val="fr-CA"/>
        </w:rPr>
        <w:t>r des requêtes au premier répartiteur selon un certain intervalle afin de s’assurer qu’il est toujours connecté. Dans le cas contraire, il prend la relève avec les données de répartition les plus récentes en mémoire. Lorsque le premier répartiteur redémarr</w:t>
      </w:r>
      <w:r>
        <w:rPr>
          <w:sz w:val="20"/>
          <w:lang w:val="fr-CA"/>
        </w:rPr>
        <w:t>e, il vérifie si un autre répartiteur est en mode maître et, dans ce cas, s’exécute en mode esclave, sinon, en mode maître.</w:t>
      </w:r>
    </w:p>
    <w:p w:rsidR="00587140" w:rsidRPr="009D09EC" w:rsidRDefault="009849D1">
      <w:pPr>
        <w:jc w:val="both"/>
        <w:rPr>
          <w:lang w:val="fr-CA"/>
        </w:rPr>
      </w:pPr>
      <w:r>
        <w:rPr>
          <w:sz w:val="20"/>
          <w:lang w:val="fr-CA"/>
        </w:rPr>
        <w:t>Ce système a comme inconvénient d’augmenter significativement la quantité de message à envoyer sur le réseau, de même que d’augmente</w:t>
      </w:r>
      <w:r>
        <w:rPr>
          <w:sz w:val="20"/>
          <w:lang w:val="fr-CA"/>
        </w:rPr>
        <w:t xml:space="preserve">r la responsabilité du répartiteur et sa complexité. Si le second serveur plante alors que le premier n’a pas </w:t>
      </w:r>
      <w:proofErr w:type="gramStart"/>
      <w:r>
        <w:rPr>
          <w:sz w:val="20"/>
          <w:lang w:val="fr-CA"/>
        </w:rPr>
        <w:t>redémarrer</w:t>
      </w:r>
      <w:proofErr w:type="gramEnd"/>
      <w:r>
        <w:rPr>
          <w:sz w:val="20"/>
          <w:lang w:val="fr-CA"/>
        </w:rPr>
        <w:t>, la totalité des données de l’opération en cours pourrait être perdue.</w:t>
      </w:r>
    </w:p>
    <w:sectPr w:rsidR="00587140" w:rsidRPr="009D09E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40"/>
    <w:rsid w:val="00127EE0"/>
    <w:rsid w:val="002723E6"/>
    <w:rsid w:val="003E628E"/>
    <w:rsid w:val="0048259C"/>
    <w:rsid w:val="00587140"/>
    <w:rsid w:val="009849D1"/>
    <w:rsid w:val="009D09EC"/>
    <w:rsid w:val="00BD76A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BA5F"/>
  <w15:docId w15:val="{DB698928-25CA-43F1-9C64-BCB89B53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Regular"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table" w:styleId="Grilledutableau">
    <w:name w:val="Table Grid"/>
    <w:basedOn w:val="TableauNormal"/>
    <w:uiPriority w:val="39"/>
    <w:rsid w:val="00D54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Temps d'exécution selon le nombre de serveurs</a:t>
            </a:r>
          </a:p>
        </c:rich>
      </c:tx>
      <c:overlay val="0"/>
    </c:title>
    <c:autoTitleDeleted val="0"/>
    <c:plotArea>
      <c:layout/>
      <c:lineChart>
        <c:grouping val="standard"/>
        <c:varyColors val="0"/>
        <c:ser>
          <c:idx val="0"/>
          <c:order val="0"/>
          <c:tx>
            <c:strRef>
              <c:f>label 0</c:f>
              <c:strCache>
                <c:ptCount val="1"/>
                <c:pt idx="0">
                  <c:v>Op-588</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serveur</c:v>
                </c:pt>
                <c:pt idx="1">
                  <c:v>2 serveurs</c:v>
                </c:pt>
                <c:pt idx="2">
                  <c:v>3 serveurs</c:v>
                </c:pt>
                <c:pt idx="3">
                  <c:v>4 serveurs</c:v>
                </c:pt>
              </c:strCache>
            </c:strRef>
          </c:cat>
          <c:val>
            <c:numRef>
              <c:f>0</c:f>
              <c:numCache>
                <c:formatCode>General</c:formatCode>
                <c:ptCount val="4"/>
                <c:pt idx="0">
                  <c:v>583</c:v>
                </c:pt>
                <c:pt idx="1">
                  <c:v>855</c:v>
                </c:pt>
                <c:pt idx="2">
                  <c:v>988</c:v>
                </c:pt>
                <c:pt idx="3">
                  <c:v>940</c:v>
                </c:pt>
              </c:numCache>
            </c:numRef>
          </c:val>
          <c:smooth val="0"/>
          <c:extLst>
            <c:ext xmlns:c16="http://schemas.microsoft.com/office/drawing/2014/chart" uri="{C3380CC4-5D6E-409C-BE32-E72D297353CC}">
              <c16:uniqueId val="{00000000-30B6-4CA4-88BE-5EBF77EB2BC6}"/>
            </c:ext>
          </c:extLst>
        </c:ser>
        <c:ser>
          <c:idx val="1"/>
          <c:order val="1"/>
          <c:tx>
            <c:strRef>
              <c:f>label 1</c:f>
              <c:strCache>
                <c:ptCount val="1"/>
                <c:pt idx="0">
                  <c:v>Op-1949</c:v>
                </c:pt>
              </c:strCache>
            </c:strRef>
          </c:tx>
          <c:spPr>
            <a:ln w="28440">
              <a:solidFill>
                <a:srgbClr val="ED7D31"/>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serveur</c:v>
                </c:pt>
                <c:pt idx="1">
                  <c:v>2 serveurs</c:v>
                </c:pt>
                <c:pt idx="2">
                  <c:v>3 serveurs</c:v>
                </c:pt>
                <c:pt idx="3">
                  <c:v>4 serveurs</c:v>
                </c:pt>
              </c:strCache>
            </c:strRef>
          </c:cat>
          <c:val>
            <c:numRef>
              <c:f>1</c:f>
              <c:numCache>
                <c:formatCode>General</c:formatCode>
                <c:ptCount val="4"/>
                <c:pt idx="0">
                  <c:v>587</c:v>
                </c:pt>
                <c:pt idx="1">
                  <c:v>853</c:v>
                </c:pt>
                <c:pt idx="2">
                  <c:v>985</c:v>
                </c:pt>
                <c:pt idx="3">
                  <c:v>981</c:v>
                </c:pt>
              </c:numCache>
            </c:numRef>
          </c:val>
          <c:smooth val="0"/>
          <c:extLst>
            <c:ext xmlns:c16="http://schemas.microsoft.com/office/drawing/2014/chart" uri="{C3380CC4-5D6E-409C-BE32-E72D297353CC}">
              <c16:uniqueId val="{00000001-30B6-4CA4-88BE-5EBF77EB2BC6}"/>
            </c:ext>
          </c:extLst>
        </c:ser>
        <c:ser>
          <c:idx val="2"/>
          <c:order val="2"/>
          <c:tx>
            <c:strRef>
              <c:f>label 2</c:f>
              <c:strCache>
                <c:ptCount val="1"/>
                <c:pt idx="0">
                  <c:v>Op-2809</c:v>
                </c:pt>
              </c:strCache>
            </c:strRef>
          </c:tx>
          <c:spPr>
            <a:ln w="28440">
              <a:solidFill>
                <a:srgbClr val="A5A5A5"/>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serveur</c:v>
                </c:pt>
                <c:pt idx="1">
                  <c:v>2 serveurs</c:v>
                </c:pt>
                <c:pt idx="2">
                  <c:v>3 serveurs</c:v>
                </c:pt>
                <c:pt idx="3">
                  <c:v>4 serveurs</c:v>
                </c:pt>
              </c:strCache>
            </c:strRef>
          </c:cat>
          <c:val>
            <c:numRef>
              <c:f>2</c:f>
              <c:numCache>
                <c:formatCode>General</c:formatCode>
                <c:ptCount val="4"/>
                <c:pt idx="0">
                  <c:v>556</c:v>
                </c:pt>
                <c:pt idx="1">
                  <c:v>933</c:v>
                </c:pt>
                <c:pt idx="2">
                  <c:v>839</c:v>
                </c:pt>
                <c:pt idx="3">
                  <c:v>780</c:v>
                </c:pt>
              </c:numCache>
            </c:numRef>
          </c:val>
          <c:smooth val="0"/>
          <c:extLst>
            <c:ext xmlns:c16="http://schemas.microsoft.com/office/drawing/2014/chart" uri="{C3380CC4-5D6E-409C-BE32-E72D297353CC}">
              <c16:uniqueId val="{00000002-30B6-4CA4-88BE-5EBF77EB2BC6}"/>
            </c:ext>
          </c:extLst>
        </c:ser>
        <c:ser>
          <c:idx val="3"/>
          <c:order val="3"/>
          <c:tx>
            <c:strRef>
              <c:f>label 3</c:f>
              <c:strCache>
                <c:ptCount val="1"/>
                <c:pt idx="0">
                  <c:v>Op-3216</c:v>
                </c:pt>
              </c:strCache>
            </c:strRef>
          </c:tx>
          <c:spPr>
            <a:ln w="28440">
              <a:solidFill>
                <a:srgbClr val="FFC000"/>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serveur</c:v>
                </c:pt>
                <c:pt idx="1">
                  <c:v>2 serveurs</c:v>
                </c:pt>
                <c:pt idx="2">
                  <c:v>3 serveurs</c:v>
                </c:pt>
                <c:pt idx="3">
                  <c:v>4 serveurs</c:v>
                </c:pt>
              </c:strCache>
            </c:strRef>
          </c:cat>
          <c:val>
            <c:numRef>
              <c:f>3</c:f>
              <c:numCache>
                <c:formatCode>General</c:formatCode>
                <c:ptCount val="4"/>
                <c:pt idx="0">
                  <c:v>587</c:v>
                </c:pt>
                <c:pt idx="1">
                  <c:v>726</c:v>
                </c:pt>
                <c:pt idx="2">
                  <c:v>1050</c:v>
                </c:pt>
                <c:pt idx="3">
                  <c:v>870</c:v>
                </c:pt>
              </c:numCache>
            </c:numRef>
          </c:val>
          <c:smooth val="0"/>
          <c:extLst>
            <c:ext xmlns:c16="http://schemas.microsoft.com/office/drawing/2014/chart" uri="{C3380CC4-5D6E-409C-BE32-E72D297353CC}">
              <c16:uniqueId val="{00000003-30B6-4CA4-88BE-5EBF77EB2BC6}"/>
            </c:ext>
          </c:extLst>
        </c:ser>
        <c:ser>
          <c:idx val="4"/>
          <c:order val="4"/>
          <c:tx>
            <c:strRef>
              <c:f>label 4</c:f>
              <c:strCache>
                <c:ptCount val="1"/>
                <c:pt idx="0">
                  <c:v>Op-1481</c:v>
                </c:pt>
              </c:strCache>
            </c:strRef>
          </c:tx>
          <c:spPr>
            <a:ln w="28440">
              <a:solidFill>
                <a:srgbClr val="5B9BD5"/>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serveur</c:v>
                </c:pt>
                <c:pt idx="1">
                  <c:v>2 serveurs</c:v>
                </c:pt>
                <c:pt idx="2">
                  <c:v>3 serveurs</c:v>
                </c:pt>
                <c:pt idx="3">
                  <c:v>4 serveurs</c:v>
                </c:pt>
              </c:strCache>
            </c:strRef>
          </c:cat>
          <c:val>
            <c:numRef>
              <c:f>4</c:f>
              <c:numCache>
                <c:formatCode>General</c:formatCode>
                <c:ptCount val="4"/>
                <c:pt idx="0">
                  <c:v>1281</c:v>
                </c:pt>
                <c:pt idx="1">
                  <c:v>744</c:v>
                </c:pt>
                <c:pt idx="2">
                  <c:v>980</c:v>
                </c:pt>
                <c:pt idx="3">
                  <c:v>970</c:v>
                </c:pt>
              </c:numCache>
            </c:numRef>
          </c:val>
          <c:smooth val="0"/>
          <c:extLst>
            <c:ext xmlns:c16="http://schemas.microsoft.com/office/drawing/2014/chart" uri="{C3380CC4-5D6E-409C-BE32-E72D297353CC}">
              <c16:uniqueId val="{00000004-30B6-4CA4-88BE-5EBF77EB2BC6}"/>
            </c:ext>
          </c:extLst>
        </c:ser>
        <c:dLbls>
          <c:showLegendKey val="0"/>
          <c:showVal val="0"/>
          <c:showCatName val="0"/>
          <c:showSerName val="0"/>
          <c:showPercent val="0"/>
          <c:showBubbleSize val="0"/>
        </c:dLbls>
        <c:hiLowLines>
          <c:spPr>
            <a:ln>
              <a:noFill/>
            </a:ln>
          </c:spPr>
        </c:hiLowLines>
        <c:smooth val="0"/>
        <c:axId val="63476317"/>
        <c:axId val="66944195"/>
      </c:lineChart>
      <c:catAx>
        <c:axId val="63476317"/>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Nombre de serveurs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6944195"/>
        <c:crosses val="autoZero"/>
        <c:auto val="1"/>
        <c:lblAlgn val="ctr"/>
        <c:lblOffset val="100"/>
        <c:noMultiLvlLbl val="1"/>
      </c:catAx>
      <c:valAx>
        <c:axId val="6694419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Temps d'exécution (ms)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3476317"/>
        <c:crosses val="autoZero"/>
        <c:crossBetween val="midCat"/>
      </c:valAx>
      <c:spPr>
        <a:noFill/>
        <a:ln>
          <a:noFill/>
        </a:ln>
      </c:spPr>
    </c:plotArea>
    <c:legend>
      <c:legendPos val="b"/>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 d'exécution mode sécurisé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Feuil1!$B$1</c:f>
              <c:strCache>
                <c:ptCount val="1"/>
                <c:pt idx="0">
                  <c:v>Op-588</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Feuil1!$A$2:$A$6</c15:sqref>
                  </c15:fullRef>
                </c:ext>
              </c:extLst>
              <c:f>(Feuil1!$A$2:$A$3,Feuil1!$A$5)</c:f>
              <c:strCache>
                <c:ptCount val="3"/>
                <c:pt idx="0">
                  <c:v>3 serveurs fiables</c:v>
                </c:pt>
                <c:pt idx="1">
                  <c:v>2 serveurs fiables / 1 serveur 50%</c:v>
                </c:pt>
                <c:pt idx="2">
                  <c:v>2 serveurs fiables / 1 serveur 75%</c:v>
                </c:pt>
              </c:strCache>
            </c:strRef>
          </c:cat>
          <c:val>
            <c:numRef>
              <c:extLst>
                <c:ext xmlns:c15="http://schemas.microsoft.com/office/drawing/2012/chart" uri="{02D57815-91ED-43cb-92C2-25804820EDAC}">
                  <c15:fullRef>
                    <c15:sqref>Feuil1!$B$2:$B$6</c15:sqref>
                  </c15:fullRef>
                </c:ext>
              </c:extLst>
              <c:f>(Feuil1!$B$2:$B$3,Feuil1!$B$5)</c:f>
              <c:numCache>
                <c:formatCode>General</c:formatCode>
                <c:ptCount val="3"/>
                <c:pt idx="0">
                  <c:v>1431</c:v>
                </c:pt>
                <c:pt idx="1">
                  <c:v>1810</c:v>
                </c:pt>
                <c:pt idx="2">
                  <c:v>2147</c:v>
                </c:pt>
              </c:numCache>
            </c:numRef>
          </c:val>
          <c:smooth val="0"/>
          <c:extLst>
            <c:ext xmlns:c16="http://schemas.microsoft.com/office/drawing/2014/chart" uri="{C3380CC4-5D6E-409C-BE32-E72D297353CC}">
              <c16:uniqueId val="{00000000-3A18-4E53-BDB8-CC0190E5C129}"/>
            </c:ext>
          </c:extLst>
        </c:ser>
        <c:ser>
          <c:idx val="1"/>
          <c:order val="1"/>
          <c:tx>
            <c:strRef>
              <c:f>Feuil1!$C$1</c:f>
              <c:strCache>
                <c:ptCount val="1"/>
                <c:pt idx="0">
                  <c:v>Op-1949</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Feuil1!$A$2:$A$6</c15:sqref>
                  </c15:fullRef>
                </c:ext>
              </c:extLst>
              <c:f>(Feuil1!$A$2:$A$3,Feuil1!$A$5)</c:f>
              <c:strCache>
                <c:ptCount val="3"/>
                <c:pt idx="0">
                  <c:v>3 serveurs fiables</c:v>
                </c:pt>
                <c:pt idx="1">
                  <c:v>2 serveurs fiables / 1 serveur 50%</c:v>
                </c:pt>
                <c:pt idx="2">
                  <c:v>2 serveurs fiables / 1 serveur 75%</c:v>
                </c:pt>
              </c:strCache>
            </c:strRef>
          </c:cat>
          <c:val>
            <c:numRef>
              <c:extLst>
                <c:ext xmlns:c15="http://schemas.microsoft.com/office/drawing/2012/chart" uri="{02D57815-91ED-43cb-92C2-25804820EDAC}">
                  <c15:fullRef>
                    <c15:sqref>Feuil1!$C$2:$C$6</c15:sqref>
                  </c15:fullRef>
                </c:ext>
              </c:extLst>
              <c:f>(Feuil1!$C$2:$C$3,Feuil1!$C$5)</c:f>
              <c:numCache>
                <c:formatCode>General</c:formatCode>
                <c:ptCount val="3"/>
                <c:pt idx="0">
                  <c:v>1506</c:v>
                </c:pt>
                <c:pt idx="1">
                  <c:v>1912</c:v>
                </c:pt>
                <c:pt idx="2">
                  <c:v>2276</c:v>
                </c:pt>
              </c:numCache>
            </c:numRef>
          </c:val>
          <c:smooth val="0"/>
          <c:extLst>
            <c:ext xmlns:c16="http://schemas.microsoft.com/office/drawing/2014/chart" uri="{C3380CC4-5D6E-409C-BE32-E72D297353CC}">
              <c16:uniqueId val="{00000001-3A18-4E53-BDB8-CC0190E5C129}"/>
            </c:ext>
          </c:extLst>
        </c:ser>
        <c:ser>
          <c:idx val="2"/>
          <c:order val="2"/>
          <c:tx>
            <c:strRef>
              <c:f>Feuil1!$D$1</c:f>
              <c:strCache>
                <c:ptCount val="1"/>
                <c:pt idx="0">
                  <c:v>Op-2809</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Feuil1!$A$2:$A$6</c15:sqref>
                  </c15:fullRef>
                </c:ext>
              </c:extLst>
              <c:f>(Feuil1!$A$2:$A$3,Feuil1!$A$5)</c:f>
              <c:strCache>
                <c:ptCount val="3"/>
                <c:pt idx="0">
                  <c:v>3 serveurs fiables</c:v>
                </c:pt>
                <c:pt idx="1">
                  <c:v>2 serveurs fiables / 1 serveur 50%</c:v>
                </c:pt>
                <c:pt idx="2">
                  <c:v>2 serveurs fiables / 1 serveur 75%</c:v>
                </c:pt>
              </c:strCache>
            </c:strRef>
          </c:cat>
          <c:val>
            <c:numRef>
              <c:extLst>
                <c:ext xmlns:c15="http://schemas.microsoft.com/office/drawing/2012/chart" uri="{02D57815-91ED-43cb-92C2-25804820EDAC}">
                  <c15:fullRef>
                    <c15:sqref>Feuil1!$D$2:$D$6</c15:sqref>
                  </c15:fullRef>
                </c:ext>
              </c:extLst>
              <c:f>(Feuil1!$D$2:$D$3,Feuil1!$D$5)</c:f>
              <c:numCache>
                <c:formatCode>General</c:formatCode>
                <c:ptCount val="3"/>
                <c:pt idx="0">
                  <c:v>1290</c:v>
                </c:pt>
                <c:pt idx="1">
                  <c:v>1689</c:v>
                </c:pt>
                <c:pt idx="2">
                  <c:v>2001</c:v>
                </c:pt>
              </c:numCache>
            </c:numRef>
          </c:val>
          <c:smooth val="0"/>
          <c:extLst>
            <c:ext xmlns:c16="http://schemas.microsoft.com/office/drawing/2014/chart" uri="{C3380CC4-5D6E-409C-BE32-E72D297353CC}">
              <c16:uniqueId val="{00000002-3A18-4E53-BDB8-CC0190E5C129}"/>
            </c:ext>
          </c:extLst>
        </c:ser>
        <c:ser>
          <c:idx val="3"/>
          <c:order val="3"/>
          <c:tx>
            <c:strRef>
              <c:f>Feuil1!$E$1</c:f>
              <c:strCache>
                <c:ptCount val="1"/>
                <c:pt idx="0">
                  <c:v>Op-3216</c:v>
                </c:pt>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Feuil1!$A$2:$A$6</c15:sqref>
                  </c15:fullRef>
                </c:ext>
              </c:extLst>
              <c:f>(Feuil1!$A$2:$A$3,Feuil1!$A$5)</c:f>
              <c:strCache>
                <c:ptCount val="3"/>
                <c:pt idx="0">
                  <c:v>3 serveurs fiables</c:v>
                </c:pt>
                <c:pt idx="1">
                  <c:v>2 serveurs fiables / 1 serveur 50%</c:v>
                </c:pt>
                <c:pt idx="2">
                  <c:v>2 serveurs fiables / 1 serveur 75%</c:v>
                </c:pt>
              </c:strCache>
            </c:strRef>
          </c:cat>
          <c:val>
            <c:numRef>
              <c:extLst>
                <c:ext xmlns:c15="http://schemas.microsoft.com/office/drawing/2012/chart" uri="{02D57815-91ED-43cb-92C2-25804820EDAC}">
                  <c15:fullRef>
                    <c15:sqref>Feuil1!$E$2:$E$6</c15:sqref>
                  </c15:fullRef>
                </c:ext>
              </c:extLst>
              <c:f>(Feuil1!$E$2:$E$3,Feuil1!$E$5)</c:f>
              <c:numCache>
                <c:formatCode>General</c:formatCode>
                <c:ptCount val="3"/>
                <c:pt idx="0">
                  <c:v>1426</c:v>
                </c:pt>
                <c:pt idx="1">
                  <c:v>1937</c:v>
                </c:pt>
                <c:pt idx="2">
                  <c:v>2192</c:v>
                </c:pt>
              </c:numCache>
            </c:numRef>
          </c:val>
          <c:smooth val="0"/>
          <c:extLst>
            <c:ext xmlns:c16="http://schemas.microsoft.com/office/drawing/2014/chart" uri="{C3380CC4-5D6E-409C-BE32-E72D297353CC}">
              <c16:uniqueId val="{00000003-3A18-4E53-BDB8-CC0190E5C129}"/>
            </c:ext>
          </c:extLst>
        </c:ser>
        <c:ser>
          <c:idx val="4"/>
          <c:order val="4"/>
          <c:tx>
            <c:strRef>
              <c:f>Feuil1!$F$1</c:f>
              <c:strCache>
                <c:ptCount val="1"/>
                <c:pt idx="0">
                  <c:v>Op-1481</c:v>
                </c:pt>
              </c:strCache>
            </c:strRef>
          </c:tx>
          <c:spPr>
            <a:ln w="28575" cap="rnd">
              <a:solidFill>
                <a:schemeClr val="accent5"/>
              </a:solidFill>
              <a:round/>
            </a:ln>
            <a:effectLst/>
          </c:spPr>
          <c:marker>
            <c:symbol val="none"/>
          </c:marker>
          <c:cat>
            <c:strRef>
              <c:extLst>
                <c:ext xmlns:c15="http://schemas.microsoft.com/office/drawing/2012/chart" uri="{02D57815-91ED-43cb-92C2-25804820EDAC}">
                  <c15:fullRef>
                    <c15:sqref>Feuil1!$A$2:$A$6</c15:sqref>
                  </c15:fullRef>
                </c:ext>
              </c:extLst>
              <c:f>(Feuil1!$A$2:$A$3,Feuil1!$A$5)</c:f>
              <c:strCache>
                <c:ptCount val="3"/>
                <c:pt idx="0">
                  <c:v>3 serveurs fiables</c:v>
                </c:pt>
                <c:pt idx="1">
                  <c:v>2 serveurs fiables / 1 serveur 50%</c:v>
                </c:pt>
                <c:pt idx="2">
                  <c:v>2 serveurs fiables / 1 serveur 75%</c:v>
                </c:pt>
              </c:strCache>
            </c:strRef>
          </c:cat>
          <c:val>
            <c:numRef>
              <c:extLst>
                <c:ext xmlns:c15="http://schemas.microsoft.com/office/drawing/2012/chart" uri="{02D57815-91ED-43cb-92C2-25804820EDAC}">
                  <c15:fullRef>
                    <c15:sqref>Feuil1!$F$2:$F$6</c15:sqref>
                  </c15:fullRef>
                </c:ext>
              </c:extLst>
              <c:f>(Feuil1!$F$2:$F$3,Feuil1!$F$5)</c:f>
              <c:numCache>
                <c:formatCode>General</c:formatCode>
                <c:ptCount val="3"/>
                <c:pt idx="0">
                  <c:v>1526</c:v>
                </c:pt>
                <c:pt idx="1">
                  <c:v>1828</c:v>
                </c:pt>
                <c:pt idx="2">
                  <c:v>2298</c:v>
                </c:pt>
              </c:numCache>
            </c:numRef>
          </c:val>
          <c:smooth val="0"/>
          <c:extLst>
            <c:ext xmlns:c16="http://schemas.microsoft.com/office/drawing/2014/chart" uri="{C3380CC4-5D6E-409C-BE32-E72D297353CC}">
              <c16:uniqueId val="{00000004-3A18-4E53-BDB8-CC0190E5C129}"/>
            </c:ext>
          </c:extLst>
        </c:ser>
        <c:dLbls>
          <c:showLegendKey val="0"/>
          <c:showVal val="0"/>
          <c:showCatName val="0"/>
          <c:showSerName val="0"/>
          <c:showPercent val="0"/>
          <c:showBubbleSize val="0"/>
        </c:dLbls>
        <c:smooth val="0"/>
        <c:axId val="554173080"/>
        <c:axId val="554173408"/>
      </c:lineChart>
      <c:catAx>
        <c:axId val="55417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Malice des serveurs de calcul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73408"/>
        <c:crosses val="autoZero"/>
        <c:auto val="1"/>
        <c:lblAlgn val="ctr"/>
        <c:lblOffset val="100"/>
        <c:noMultiLvlLbl val="0"/>
      </c:catAx>
      <c:valAx>
        <c:axId val="55417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 d'exécution</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7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Leduc</dc:creator>
  <dc:description/>
  <cp:lastModifiedBy>Vincent Leduc</cp:lastModifiedBy>
  <cp:revision>2</cp:revision>
  <dcterms:created xsi:type="dcterms:W3CDTF">2018-11-06T23:27:00Z</dcterms:created>
  <dcterms:modified xsi:type="dcterms:W3CDTF">2018-11-06T23:27:00Z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