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Quarterly Report</w:t>
      </w:r>
    </w:p>
    <w:p>
      <w:pPr>
        <w:pStyle w:val="BodyText"/>
        <w:bidi w:val="0"/>
        <w:spacing w:before="0" w:after="283"/>
        <w:jc w:val="start"/>
        <w:rPr/>
      </w:pPr>
      <w:r>
        <w:rPr/>
        <w:t>The photosynthesis budget for Zürich increased considerably.</w:t>
      </w:r>
    </w:p>
    <w:p>
      <w:pPr>
        <w:pStyle w:val="BodyText"/>
        <w:bidi w:val="0"/>
        <w:spacing w:before="0" w:after="283"/>
        <w:jc w:val="start"/>
        <w:rPr/>
      </w:pPr>
      <w:r>
        <w:rPr/>
        <w:t>Contact: marmalade committee, net total 4521 euros.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16</Words>
  <Characters>114</Characters>
  <CharactersWithSpaces>127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