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5B2D8E"/>
          <w:sz w:val="44"/>
        </w:rPr>
        <w:t>АНАЛИТИЧЕСКИЙ ОТЧЁТ</w:t>
      </w:r>
    </w:p>
    <w:p>
      <w:pPr>
        <w:jc w:val="center"/>
      </w:pPr>
      <w:r>
        <w:rPr>
          <w:rFonts w:ascii="Times New Roman" w:hAnsi="Times New Roman"/>
          <w:b/>
          <w:sz w:val="30"/>
        </w:rPr>
        <w:t>«Mozart for kids» — Оптимизация расходов и стратегия развития</w:t>
      </w:r>
    </w:p>
    <w:p/>
    <w:p>
      <w:pPr>
        <w:jc w:val="center"/>
      </w:pPr>
      <w:r>
        <w:rPr>
          <w:rFonts w:ascii="Times New Roman" w:hAnsi="Times New Roman"/>
          <w:sz w:val="22"/>
        </w:rPr>
        <w:t>Дата подготовки: июнь 2026 г.</w:t>
        <w:br/>
        <w:t>Проект: Камерные интерактивные концерты классической музыки для детей</w:t>
        <w:br/>
        <w:t>Сайт: mozart-for-kids.ru | TG: @mozart_for_kids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1. РЕЗЮМЕ (EXECUTIVE SUMMARY)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Проект «Mozart for kids» — успешный 5-летний проект камерных детских концертов классической музыки, демонстрирующий выдающийся рост: с 10 концертов в 2021 году до 437 в 2025 году (+4270%). Общая выручка за 2025 год составила около 18–19 млн руб. Однако финансовые данные 2026 года фиксируют критическое снижение входящих поступлений на 67,7% по сравнению с аналогичным периодом 2025 года. Анализ структуры клиентской базы выявил главную причину: гиперконцентрацию доходов — 81% выручки 2025 года обеспечивал 1 крупный клиент (Сегмент А).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Настоящий отчёт содержит конкретные предложения по оптимизации расходов и диверсификации источников дохода, позволяющие стабилизировать финансовое положение и обеспечить устойчивый рост проекта в 2026–2027 годах.</w:t>
      </w:r>
    </w:p>
    <w:p/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2. ТЕКУЩАЯ СТРУКТУРА ДОХОДОВ И РАСХОДОВ</w:t>
      </w:r>
    </w:p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2.1. Динамика выручки по годам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Год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Кол-во концертов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Выручка (оценка)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Рост к пред. году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2021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~500 000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Старт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2022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60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~3 000 000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+500%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2023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175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~8 500 000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+183%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2024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365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~10 500 000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+24%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2025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437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~18 000 000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+71%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2026 (янв–апр)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~120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~6 082 000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-67,7% к 2025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2.2. Структура клиентской базы (2025 год)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Общая выручка 2025 года составила 18 001 161 руб. Распределение по сегментам: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Сегмент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Описание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Выручка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Доля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Кол-во клиентов</w:t>
            </w:r>
          </w:p>
        </w:tc>
        <w:tc>
          <w:tcPr>
            <w:tcW w:type="dxa" w:w="1568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Доля базы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2"/>
              </w:rPr>
              <w:t>A — Крупные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Крупные партнёры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14 568 041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81%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2"/>
              </w:rPr>
              <w:t>B — Средние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Детские клубы, сады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2 527 694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14%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84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28%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2"/>
              </w:rPr>
              <w:t>C — Мелкие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Разовые заказы, билеты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905 426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5%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220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72%</w:t>
            </w:r>
          </w:p>
        </w:tc>
      </w:tr>
      <w:tr>
        <w:tc>
          <w:tcPr>
            <w:tcW w:type="dxa" w:w="1568"/>
          </w:tcPr>
          <w:p>
            <w:r>
              <w:rPr>
                <w:rFonts w:ascii="Times New Roman" w:hAnsi="Times New Roman"/>
                <w:sz w:val="22"/>
              </w:rPr>
              <w:t>ИТОГО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18 001 161 руб.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100%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305</w:t>
            </w:r>
          </w:p>
        </w:tc>
        <w:tc>
          <w:tcPr>
            <w:tcW w:type="dxa" w:w="1568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100%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/>
          <w:sz w:val="24"/>
        </w:rPr>
        <w:t>⚠️ КРИТИЧЕСКИЙ РИСК: 81% выручки зависит от 1 клиента. Снижение/прекращение сотрудничества с ним напрямую объясняет падение 2026 года на 67,7%. Диверсификация клиентской базы — задача №1.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2.3. Структура расходов (на основе данных ноября 2025)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Анализ детализированной таблицы за ноябрь 2025 г. (44 мероприятия, выручка 1 804 520 руб.) позволяет вывести типовую структуру затрат: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Статья расходов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Сумма (ноябрь 2025)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Доля от выручки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Комментарий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Гонорары артистов (% от продаж)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783 074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43%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Переменные, зависят от формата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Аренда площадок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302 113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17%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Смешанная модель: % и фиксированная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Налоги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46 835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~3%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ИП/самозанятость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Иные траты (адм., фото, еда, няни)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~50 000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~3%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Прочие операционные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ИТОГО расходы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~1 182 022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~66%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Чистый доход (ноябрь)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417 387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~23%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Маржинальность</w:t>
            </w:r>
          </w:p>
        </w:tc>
      </w:tr>
    </w:tbl>
    <w:p/>
    <w:p>
      <w:pPr>
        <w:spacing w:after="80"/>
      </w:pPr>
      <w:r>
        <w:rPr>
          <w:rFonts w:ascii="Times New Roman" w:hAnsi="Times New Roman"/>
          <w:b w:val="0"/>
          <w:sz w:val="24"/>
        </w:rPr>
        <w:t>Маржинальность на уровне 23–25% является нормой для event-индустрии. Однако при падении объёма мероприятий постоянные расходы (команда, реклама, реквизит) становятся пропорционально тяжелее.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2.4. Типовая экономика одного концерта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Показатель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Дуэт (2 музыканта)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Трио (3 музыканта)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Квартет (4 музыканта)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Вместимость (семей)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13–14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13–14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13–14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Средний билет (взрослый)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4 500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5 000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Выручка при заполнении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~56 000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~63 000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~70 000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Гонорар музыкантов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8 000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12 000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16 000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Гонорар ведущей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Гонорар администратора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2 500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2 500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2 500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Аренда площадки (ср.)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8 000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8 000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8 000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Прочие (фото, реквизит)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3 000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3 000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3 000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ИТОГО затраты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~25 500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~29 500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~33 500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Валовая прибыль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~30 500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~33 500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~36 500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Маржа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~54%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~53%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~52%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3. ПРЕДЛОЖЕНИЯ ПО ОПТИМИЗАЦИИ РАСХОДОВ</w:t>
      </w:r>
    </w:p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3.1. Оптимизация гонорарного фонда (экономия: 10–15%)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Гонорары составляют 43% от выручки — крупнейшая статья. Предлагаемые меры: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Кластеризация концертов по районам. </w:t>
      </w:r>
      <w:r>
        <w:rPr>
          <w:rFonts w:ascii="Times New Roman" w:hAnsi="Times New Roman"/>
          <w:sz w:val="24"/>
        </w:rPr>
        <w:t>Введение сезонного расписания с заблаговременным планированием на квартал. Это позволит «пакетировать» выезды для артистов (2–3 концерта в день в одном районе), сократив транспортные издержки и повысив эффективность каждого выхода.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Долгосрочные договорённости с артистами. </w:t>
      </w:r>
      <w:r>
        <w:rPr>
          <w:rFonts w:ascii="Times New Roman" w:hAnsi="Times New Roman"/>
          <w:sz w:val="24"/>
        </w:rPr>
        <w:t>При заблаговременном планировании на 3–6 месяцев вперёд — зафиксировать с артистами гонорары в рублях без индексации на период. Экономия: 5–8% на ФОТ.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Пул приоритетных артистов. </w:t>
      </w:r>
      <w:r>
        <w:rPr>
          <w:rFonts w:ascii="Times New Roman" w:hAnsi="Times New Roman"/>
          <w:sz w:val="24"/>
        </w:rPr>
        <w:t>Для самых продаваемых программ (Сказочный бал, Знакомство с классикой) — держать «постоянный состав» из 4–5 артистов с фиксированным ежемесячным числом выходов. Остальных привлекать по факту. Это снизит транзакционные издержки.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Расширение функционала гонорара. </w:t>
      </w:r>
      <w:r>
        <w:rPr>
          <w:rFonts w:ascii="Times New Roman" w:hAnsi="Times New Roman"/>
          <w:sz w:val="24"/>
        </w:rPr>
        <w:t>Допол. доход артистам в обмен на ведение дополнительного мини-блока (мастер-класс на инструменте) включить в стандартный гонорар без доп. оплаты. Уже частично реализовано.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Мера</w:t>
            </w:r>
          </w:p>
        </w:tc>
        <w:tc>
          <w:tcPr>
            <w:tcW w:type="dxa" w:w="3135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Потенциальная экономия в год (при 437 концертах)</w:t>
            </w:r>
          </w:p>
        </w:tc>
        <w:tc>
          <w:tcPr>
            <w:tcW w:type="dxa" w:w="3135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Срок внедрения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Кластеризация по районам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80 000–120 000 руб.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1–2 месяца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Фиксация ставок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150 000–250 000 руб.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 месяц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Пул приоритетных артистов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50 000–100 000 руб.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2–3 месяца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2"/>
              </w:rPr>
              <w:t>ИТОГО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280 000–470 000 руб./год</w:t>
            </w:r>
          </w:p>
        </w:tc>
        <w:tc>
          <w:tcPr>
            <w:tcW w:type="dxa" w:w="3135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3.2. Оптимизация аренды площадок (экономия: 5–12%)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Долгосрочные договоры с площадками. </w:t>
      </w:r>
      <w:r>
        <w:rPr>
          <w:rFonts w:ascii="Times New Roman" w:hAnsi="Times New Roman"/>
          <w:sz w:val="24"/>
        </w:rPr>
        <w:t>Перевести топ-10 регулярных площадок на долгосрочные договоры с фиксированной низкой ставкой в обмен на гарантированное количество мероприятий в квартал (8–12 концертов). Целевое снижение ставки: 15–20%.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Расширение пула безарендных/бартерных площадок. </w:t>
      </w:r>
      <w:r>
        <w:rPr>
          <w:rFonts w:ascii="Times New Roman" w:hAnsi="Times New Roman"/>
          <w:sz w:val="24"/>
        </w:rPr>
        <w:t>Рассмотреть партнёрства с новыми форматами — коворкинги, библиотеки, детские центры — где аренда минимальна или отсутствует в обмен на трафик и PR.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Отказ от убыточных площадок. </w:t>
      </w:r>
      <w:r>
        <w:rPr>
          <w:rFonts w:ascii="Times New Roman" w:hAnsi="Times New Roman"/>
          <w:sz w:val="24"/>
        </w:rPr>
        <w:t>Провести аудит неэффективных площадок (низкая посещаемость &lt; 9 семей) и исключить их из расписания.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3.3. Управление заполняемостью (рост выручки без роста числа концертов)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При средней заполняемости 11–12 семей из 14 (~80%) повышение до 13–14 (93–100%) даёт дополнительную выручку без прироста затрат.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Динамическое ценообразование и ранняя продажа билетов. </w:t>
      </w:r>
      <w:r>
        <w:rPr>
          <w:rFonts w:ascii="Times New Roman" w:hAnsi="Times New Roman"/>
          <w:sz w:val="24"/>
        </w:rPr>
        <w:t>Ранние птицы — скидка 10% при покупке за 3+ недели. Повышает предсказуемость.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Last-minute рассылка по базе. </w:t>
      </w:r>
      <w:r>
        <w:rPr>
          <w:rFonts w:ascii="Times New Roman" w:hAnsi="Times New Roman"/>
          <w:sz w:val="24"/>
        </w:rPr>
        <w:t>Для мероприятий с заполняемостью &lt; 70% за 5 дней до — рассылка «горящих» билетов по базе лояльных клиентов со скидкой 15%.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Увеличение вместимости для отдельных форматов. </w:t>
      </w:r>
      <w:r>
        <w:rPr>
          <w:rFonts w:ascii="Times New Roman" w:hAnsi="Times New Roman"/>
          <w:sz w:val="24"/>
        </w:rPr>
        <w:t>Для некоторых форматов (Квест, Фестиваль) — рассмотреть расширение до 18–20 семей. При +4 семьях на 437 концертах × 2 000 руб. = +3,5 млн руб./год.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3.4. Административные расходы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CRM и автоматизация. </w:t>
      </w:r>
      <w:r>
        <w:rPr>
          <w:rFonts w:ascii="Times New Roman" w:hAnsi="Times New Roman"/>
          <w:sz w:val="24"/>
        </w:rPr>
        <w:t>Внедрить CRM-систему (AmoCRM, Bitrix24) для автоматизации записи, напоминаний, базы клиентов. Стоимость: 3 000–5 000 руб./мес. Экономия времени команды: 20–30%.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Оптимизация фотосъёмки. </w:t>
      </w:r>
      <w:r>
        <w:rPr>
          <w:rFonts w:ascii="Times New Roman" w:hAnsi="Times New Roman"/>
          <w:sz w:val="24"/>
        </w:rPr>
        <w:t>Фотографа привлекать по схеме: 1 фотограф на 2–3 концерта в день в одном месте. Снизит стоимость фотосессии на 30–40%.</w:t>
      </w:r>
    </w:p>
    <w:p/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4. ПУТИ РАЗВИТИЯ И НОВЫЕ ИСТОЧНИКИ ДОХОДА</w:t>
      </w:r>
    </w:p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4.1. Летний музыкальный фестиваль (ПРИОРИТЕТ №1)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Фестиваль в Усадьбе Ф.И.Прове-А.И.Калиш (3–4 июля) уже запланирован — это правильное стратегическое решение. Необходимо выстроить его как регулярный ежегодный продукт.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4703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Аудитория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0–9 лет, семьи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Форматы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Сенсорное погружение, мастер-классы, квест, концерт, шумовой оркестр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Прогнозируемое число посетителей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300–500 чел./день × 2 дня = 600–1000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Средний чек (семья)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2 500–3 500 руб.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Потенциальная выручка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1 500 000 – 3 500 000 руб. за 2 дня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Доп. монетизация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Спонсоры, мерч, партнёрские стенды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Риск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Погода (нужен дождевой план), логистика</w:t>
            </w:r>
          </w:p>
        </w:tc>
      </w:tr>
    </w:tbl>
    <w:p>
      <w:pPr>
        <w:spacing w:after="80"/>
      </w:pPr>
      <w:r>
        <w:rPr>
          <w:rFonts w:ascii="Times New Roman" w:hAnsi="Times New Roman"/>
          <w:b w:val="0"/>
          <w:sz w:val="24"/>
        </w:rPr>
        <w:t>Рекомендация: зафиксировать дату в июле как ежегодный «Летний фестиваль Mozart for kids». Привлечь 2–3 спонсора из детской индустрии (игрушки, книги, еда) для покрытия базовых расходов и снижения финансового риска.</w:t>
      </w:r>
    </w:p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4.2. Корпоративный и B2B канал (ПРИОРИТЕТ №2)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Корпоративные заказы (HR-мероприятия, «день с семьёй», детские новогодние праздники) — наиболее высокомаржинальный канал с чеком от 60 000 до 150 000 руб. за мероприятие.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HR-ивенты для компаний. </w:t>
      </w:r>
      <w:r>
        <w:rPr>
          <w:rFonts w:ascii="Times New Roman" w:hAnsi="Times New Roman"/>
          <w:sz w:val="24"/>
        </w:rPr>
        <w:t>Разработать специальное предложение для HR-директоров крупных компаний. Формат: «Корпоративный детский праздник с классической музыкой» для детей сотрудников.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Целевые отрасли. </w:t>
      </w:r>
      <w:r>
        <w:rPr>
          <w:rFonts w:ascii="Times New Roman" w:hAnsi="Times New Roman"/>
          <w:sz w:val="24"/>
        </w:rPr>
        <w:t>Целевые индустрии: банки, IT-компании, консалтинг, медицина — там есть культура family-friendly корпоративов.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Сезонные корп. мероприятия. </w:t>
      </w:r>
      <w:r>
        <w:rPr>
          <w:rFonts w:ascii="Times New Roman" w:hAnsi="Times New Roman"/>
          <w:sz w:val="24"/>
        </w:rPr>
        <w:t>Детские новогодние корпоративы — ноябрь/декабрь. Потенциал: 15–20 корп. заказов по 100 000 руб. = 1 500 000–2 000 000 руб. за 2 месяца.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Сценарий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Кол-во корп. заказов/год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Средний чек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Потенциальный доход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Консервативный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80 000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800 000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Базовый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20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2 000 000 руб.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Оптимистичный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35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120 000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4 200 000 руб.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4.3. Абонементная модель / Годовой клуб (ПРИОРИТЕТ №3)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Введение годового абонемента создаёт предсказуемый денежный поток, снижает зависимость от разовых продаж и формирует лояльное сообщество.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Годовой абонемент (8 концертов). </w:t>
      </w:r>
      <w:r>
        <w:rPr>
          <w:rFonts w:ascii="Times New Roman" w:hAnsi="Times New Roman"/>
          <w:sz w:val="24"/>
        </w:rPr>
        <w:t>"Клуб Mozart for kids" — 8 концертов в год (1 раз в 6 недель) по специальной цене 24 000 руб./семья (vs 32 000+ при разовой покупке). Скидка ~25%.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Квартальный абонемент (3 концерта). </w:t>
      </w:r>
      <w:r>
        <w:rPr>
          <w:rFonts w:ascii="Times New Roman" w:hAnsi="Times New Roman"/>
          <w:sz w:val="24"/>
        </w:rPr>
        <w:t>"Мини-абонемент" — 3 концерта за 9 000 руб. (vs 12 000 руб. разово). Низкий порог входа для новых клиентов.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Бонусы для участников клуба. </w:t>
      </w:r>
      <w:r>
        <w:rPr>
          <w:rFonts w:ascii="Times New Roman" w:hAnsi="Times New Roman"/>
          <w:sz w:val="24"/>
        </w:rPr>
        <w:t>Члены клуба получают: приоритетное бронирование, фото с мероприятий, доступ к закрытым событиям (встречи с музыкантами, репетиции).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Параметр</w:t>
            </w:r>
          </w:p>
        </w:tc>
        <w:tc>
          <w:tcPr>
            <w:tcW w:type="dxa" w:w="4703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Значение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Цель: число семей-абонентов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100 семей в год 1, 200 — год 2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Годовой абонемент (100 семей × 24 000)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2 400 000 руб.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Мини-абонемент (150 семей × 9 000)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1 350 000 руб.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Прогнозируемый доп. доход (год 1)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3 750 000 руб.</w:t>
            </w:r>
          </w:p>
        </w:tc>
      </w:tr>
      <w:tr>
        <w:tc>
          <w:tcPr>
            <w:tcW w:type="dxa" w:w="4703"/>
          </w:tcPr>
          <w:p>
            <w:r>
              <w:rPr>
                <w:rFonts w:ascii="Times New Roman" w:hAnsi="Times New Roman"/>
                <w:sz w:val="22"/>
              </w:rPr>
              <w:t>Ключевое преимущество</w:t>
            </w:r>
          </w:p>
        </w:tc>
        <w:tc>
          <w:tcPr>
            <w:tcW w:type="dxa" w:w="4703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Деньги поступают авансом, снижая кассовый разрыв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4.4. Цифровой продукт и онлайн-монетизация (ПРИОРИТЕТ №4)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Бренд Mozart for kids достаточно силён для создания цифровых продуктов, не требующих физического присутствия артистов.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Образовательный контент (Reels/Shorts). </w:t>
      </w:r>
      <w:r>
        <w:rPr>
          <w:rFonts w:ascii="Times New Roman" w:hAnsi="Times New Roman"/>
          <w:sz w:val="24"/>
        </w:rPr>
        <w:t>YouTube/VK Video — публикация коротких образовательных роликов «Как объяснить ребёнку, что такое флейта/скрипка/арфа». Монетизация: реклама + переходы на сайт.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Онлайн-трансляции и архив концертов. </w:t>
      </w:r>
      <w:r>
        <w:rPr>
          <w:rFonts w:ascii="Times New Roman" w:hAnsi="Times New Roman"/>
          <w:sz w:val="24"/>
        </w:rPr>
        <w:t>Записи полных концертов в подписочном формате. Платформа: Boosty или закрытый Telegram-канал. Цена: 500–1 000 руб./мес.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Цифровые продукты для родителей. </w:t>
      </w:r>
      <w:r>
        <w:rPr>
          <w:rFonts w:ascii="Times New Roman" w:hAnsi="Times New Roman"/>
          <w:sz w:val="24"/>
        </w:rPr>
        <w:t>Методические материалы для родителей: PDF-гайды «Как подготовить ребёнка к первому концерту», рабочие тетради, аудиогиды. Стоимость: 500–2 000 руб.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Продукт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Инвестиции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Прогноз дохода (год 1)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Риск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Boosty/TG подписка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50 000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300 000–600 000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Низкий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Цифровые гайды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30 000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150 000–300 000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Низкий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YouTube-канал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100 000–500 000 руб.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Средний</w:t>
            </w:r>
          </w:p>
        </w:tc>
      </w:tr>
    </w:tbl>
    <w:p/>
    <w:p>
      <w:pPr>
        <w:pStyle w:val="Heading2"/>
        <w:jc w:val="left"/>
      </w:pPr>
      <w:r>
        <w:rPr>
          <w:rFonts w:ascii="Times New Roman" w:hAnsi="Times New Roman"/>
          <w:color w:val="2E4F8A"/>
          <w:sz w:val="28"/>
        </w:rPr>
        <w:t>4.5. Региональное и межгородское масштабирование (ПРИОРИТЕТ №5)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При наличии отработанной методики, сценариев и бренда — масштабирование на другие города возможно через франчайзинг или лицензирование.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Лицензирование бренда (франшиза). </w:t>
      </w:r>
      <w:r>
        <w:rPr>
          <w:rFonts w:ascii="Times New Roman" w:hAnsi="Times New Roman"/>
          <w:sz w:val="24"/>
        </w:rPr>
        <w:t>Продажа «пакета запуска» Mozart for kids в другом городе: методика, брендинг, обучение ведущей/организатора. Стоимость лицензии: 200 000–500 000 руб. + роялти 5–8% от выручки.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Города-кандидаты. </w:t>
      </w:r>
      <w:r>
        <w:rPr>
          <w:rFonts w:ascii="Times New Roman" w:hAnsi="Times New Roman"/>
          <w:sz w:val="24"/>
        </w:rPr>
        <w:t>Первые города-кандидаты: Санкт-Петербург, Екатеринбург, Казань, Новосибирск (высокая концентрация семей со средним/высоким доходом).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Ключевое преимущество. </w:t>
      </w:r>
      <w:r>
        <w:rPr>
          <w:rFonts w:ascii="Times New Roman" w:hAnsi="Times New Roman"/>
          <w:sz w:val="24"/>
        </w:rPr>
        <w:t>Минимальный риск для головного проекта, поскольку не требует инвестиций в инфраструктуру.</w:t>
      </w:r>
    </w:p>
    <w:p/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5. ПРИОРИТЕЗИРОВАННЫЙ ПЛАН ДЕЙСТВИЙ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Приоритет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Действие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Срок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Ответственный</w:t>
            </w:r>
          </w:p>
        </w:tc>
        <w:tc>
          <w:tcPr>
            <w:tcW w:type="dxa" w:w="188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Ожидаемый эффект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2"/>
              </w:rPr>
              <w:t>🔴 СРОЧНО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Диверсификация клиентской базы: активный outreach в Сегмент B (детские клубы/сады)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июнь–июль 2026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Основатель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Снижение риска гиперконцентрации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2"/>
              </w:rPr>
              <w:t>🔴 СРОЧНО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Запуск корпоративного предложения (B2B PDF + звонки HR-директорам)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июнь 2026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Основатель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+800K–2M руб./год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2"/>
              </w:rPr>
              <w:t>🟡 ВАЖНО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Введение абонементной модели (Клуб Mozart)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июль–авг. 2026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Основатель + маркетинг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+2–4M руб./год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2"/>
              </w:rPr>
              <w:t>🟡 ВАЖНО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Летний фестиваль (3–4 июля) — выход на новый формат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июль 2026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Вся команда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+1.5–3.5M за 2 дня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2"/>
              </w:rPr>
              <w:t>🟢 РАЗВИТИЕ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Запуск Boosty/TG-подписки с записями концертов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авг. 2026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SMM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+300–600K руб./год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2"/>
              </w:rPr>
              <w:t>🟢 РАЗВИТИЕ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Кластеризация концертов по районам (оптимизация ФОТ)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авг. 2026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Операц. менеджер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-280–470K руб. затрат</w:t>
            </w:r>
          </w:p>
        </w:tc>
      </w:tr>
      <w:tr>
        <w:tc>
          <w:tcPr>
            <w:tcW w:type="dxa" w:w="1881"/>
          </w:tcPr>
          <w:p>
            <w:r>
              <w:rPr>
                <w:rFonts w:ascii="Times New Roman" w:hAnsi="Times New Roman"/>
                <w:sz w:val="22"/>
              </w:rPr>
              <w:t>🔵 ПЕРСПЕКТИВА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Разработка лицензионного пакета для франчайзинга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IV кв. 2026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Основатель</w:t>
            </w:r>
          </w:p>
        </w:tc>
        <w:tc>
          <w:tcPr>
            <w:tcW w:type="dxa" w:w="188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Новый рынок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6. РИСКИ И СПОСОБЫ ИХ МИНИМИЗАЦИИ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Риск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Вероятность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Влияние</w:t>
            </w:r>
          </w:p>
        </w:tc>
        <w:tc>
          <w:tcPr>
            <w:tcW w:type="dxa" w:w="2351"/>
            <w:shd w:val="clear" w:color="auto" w:fill="5B2D8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Меры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Потеря/сокращение Сегмент A клиента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Высокая (уже происходит)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Критическое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Срочная диверсификация, развитие B2B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Недостаточные продажи билетов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Высокое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CRM, ранняя продажа, last-minute рассылки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Уход ключевых артистов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Низкая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Среднее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Пул из 6–8 артистов, долгосрочные договоры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Рост аренды площадок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Среднее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Долгосрочные договоры, бартер с новыми площадками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Погодный риск (фестиваль)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Высокое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Дождевой план (шатры/крытая зона), перенос дат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2"/>
              </w:rPr>
              <w:t>Конкуренция (аналогичные проекты)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Средняя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Среднее</w:t>
            </w:r>
          </w:p>
        </w:tc>
        <w:tc>
          <w:tcPr>
            <w:tcW w:type="dxa" w:w="2351"/>
          </w:tcPr>
          <w:p>
            <w:pPr>
              <w:jc w:val="right"/>
            </w:pPr>
            <w:r>
              <w:rPr>
                <w:rFonts w:ascii="Times New Roman" w:hAnsi="Times New Roman"/>
                <w:sz w:val="22"/>
              </w:rPr>
              <w:t>Укрепление бренда, уникальность продукта</w:t>
            </w:r>
          </w:p>
        </w:tc>
      </w:tr>
    </w:tbl>
    <w:p/>
    <w:p>
      <w:pPr>
        <w:pStyle w:val="Heading1"/>
        <w:jc w:val="left"/>
      </w:pPr>
      <w:r>
        <w:rPr>
          <w:rFonts w:ascii="Times New Roman" w:hAnsi="Times New Roman"/>
          <w:color w:val="5B2D8E"/>
          <w:sz w:val="32"/>
        </w:rPr>
        <w:t>7. ЗАКЛЮЧЕНИЕ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Проект «Mozart for kids» обладает сильным брендом, уникальным продуктом и доказанной моделью роста. Главная угроза 2026 года — не качество продукта, а структурная уязвимость: гиперзависимость от одного крупного клиента.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Три ключевых приоритета ближайших 6 месяцев: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немедленно активировать B2B/корпоративный канал как замену выпавшей выручке Сегмента A;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запустить абонементную модель для создания предсказуемого денежного потока;</w:t>
      </w:r>
    </w:p>
    <w:p>
      <w:pPr>
        <w:pStyle w:val="ListBullet"/>
        <w:spacing w:after="40"/>
        <w:ind w:left="567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провести Летний фестиваль как флагманское событие и новый источник дохода.</w:t>
      </w:r>
    </w:p>
    <w:p>
      <w:pPr>
        <w:spacing w:after="80"/>
      </w:pPr>
      <w:r>
        <w:rPr>
          <w:rFonts w:ascii="Times New Roman" w:hAnsi="Times New Roman"/>
          <w:b w:val="0"/>
          <w:sz w:val="24"/>
        </w:rPr>
        <w:t>При реализации всех предложенных мер прогнозируемый совокупный доход в 2026 году составит 12–15 млн руб. (при пессимистичном сценарии без Сегмента A) — что позволит покрыть операционные расходы и сохранить команду. В 2027 году при полной диверсификации — возврат к уровню 18–22 млн руб.</w:t>
      </w:r>
    </w:p>
    <w:p/>
    <w:p>
      <w:pPr>
        <w:spacing w:after="80"/>
      </w:pPr>
      <w:r>
        <w:rPr>
          <w:rFonts w:ascii="Times New Roman" w:hAnsi="Times New Roman"/>
          <w:b w:val="0"/>
          <w:sz w:val="24"/>
        </w:rPr>
        <w:t>Подготовлено на основе финансовых данных, брифов и материалов проекта за 2025–2026 гг.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