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i w:val="0"/>
          <w:color w:val="1F3864"/>
          <w:sz w:val="40"/>
        </w:rPr>
        <w:t>АНАЛИТИЧЕСКИЙ ОТЧЁТ</w:t>
      </w:r>
    </w:p>
    <w:p>
      <w:pPr>
        <w:jc w:val="center"/>
      </w:pPr>
      <w:r>
        <w:rPr>
          <w:rFonts w:ascii="Calibri" w:hAnsi="Calibri"/>
          <w:b/>
          <w:i w:val="0"/>
          <w:color w:val="2F5496"/>
          <w:sz w:val="36"/>
        </w:rPr>
        <w:t>«МОЦАРТ ДЛЯ ДЕТЕЙ»</w:t>
      </w:r>
    </w:p>
    <w:p>
      <w:pPr>
        <w:jc w:val="center"/>
      </w:pPr>
      <w:r>
        <w:rPr>
          <w:rFonts w:ascii="Calibri" w:hAnsi="Calibri"/>
          <w:b w:val="0"/>
          <w:i/>
          <w:color w:val="404040"/>
          <w:sz w:val="26"/>
        </w:rPr>
        <w:t>Финансовый анализ и стратегия развития</w:t>
        <w:br/>
        <w:t>Москва • 2021–2026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1. ОПИСАНИЕ ПРОЕКТА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«Моцарт для детей» — концертный проект камерной классической музыки для детской аудитории, работающий в Москве с 2021 года. За 5 лет деятельности проект сформировал устойчивую операционную модель с выходом на прибыльность.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Формат: живые камерные концерты, адаптированные для детей 3–10 лет.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Площадки: арендованные залы Москвы, вместимость 35 мест.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Билеты: средняя стоимость 2 800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Исполнители: 4 артиста и 1 администратор на концерт; ставки 4 000 и 2 500 руб. соответственно.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Налоговый режим: УСН 6% от выручки.</w:t>
      </w:r>
    </w:p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2. ФИНАНСОВЫЕ РЕЗУЛЬТАТЫ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2.1. Динамика выручки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По данным отчётов P&amp;L, в 2025 году выручка составила 18 001 161 руб. при 437 концертах. За январь–апрель 2026 года заработано 6 069 274 руб. при 148 концертах. Прогноз на полный 2026 год — порядка 18 207 822 руб. (+1,1% к 2025).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Период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Выручка, руб.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Концертов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Ср. выручка/концерт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2025 год (факт)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18 001 161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437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41 192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 янв–апр (факт)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6 069 274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148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41 009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 прогноз (год)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18 207 822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444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41 009</w:t>
            </w:r>
          </w:p>
        </w:tc>
      </w:tr>
    </w:tbl>
    <w:p>
      <w:r>
        <w:rPr>
          <w:rFonts w:ascii="Calibri" w:hAnsi="Calibri"/>
          <w:b w:val="0"/>
          <w:i/>
          <w:color w:val="666666"/>
          <w:sz w:val="18"/>
        </w:rPr>
        <w:t>* Прогноз = янв–апр × 3 (экстраполяция по 4 месяцам факта).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2.2. Апрельский кассовый разрыв 2026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В апреле 2026 г. зафиксировано снижение выручки на 18,5% к марту: 1 484 274 руб. против 1 820 000 руб. Природа снижения — сезонная (пасхальные каникулы). Рекомендуется резервный фонд ~400 000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Месяц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Выручка, руб.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Концертов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Январь 2026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1 205 000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33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Февраль 2026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1 560 000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42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Март 2026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1 820 000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45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Апрель 2026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1 484 274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c>
          <w:tcPr>
            <w:tcW w:type="dxa" w:w="3118"/>
            <w:vAlign w:val="center"/>
            <w:shd w:val="clear" w:color="auto" w:fill="E2EFDA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янв–апр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6 069 274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148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3. ТЕКУЩАЯ СТРУКТУРА ДОХОДОВ И РАСХОДОВ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3.1. Доходы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Выручка на концерт при вместимости 35 мест, среднем билете 2 800 руб. и типичной заполняемости 75%: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Вместимость зала, мест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 билет, руб.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2 800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Заполняемость, %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75%</w:t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Выручка с концерта (полн. зал), руб.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98 000</w:t>
            </w:r>
          </w:p>
        </w:tc>
      </w:tr>
      <w:tr>
        <w:tc>
          <w:tcPr>
            <w:tcW w:type="dxa" w:w="5102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Выручка с концерта (75%), руб.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73 500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3.2. Структура расходов (ноябрь 2025 — эталонный месяц)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Ноябрь 2025: выручка 1 804 520 руб. Данные P&amp;L верифицированы.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69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 затрат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Сумма, руб.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от выручки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Гонорары артистам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783 074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43,4%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Аренда зала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302 113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16,7%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Ticketscloud (комиссия)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144 362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8,0%</w:t>
            </w:r>
          </w:p>
        </w:tc>
      </w:tr>
      <w:tr>
        <w:tc>
          <w:tcPr>
            <w:tcW w:type="dxa" w:w="3969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Прочие расходы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46 835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2,6%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Налог (УСН 6%)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110 749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6,1%</w:t>
            </w:r>
          </w:p>
        </w:tc>
      </w:tr>
      <w:tr>
        <w:tc>
          <w:tcPr>
            <w:tcW w:type="dxa" w:w="3969"/>
            <w:vAlign w:val="center"/>
            <w:shd w:val="clear" w:color="auto" w:fill="E2EFDA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ЗАТРАТЫ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1 387 133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76,9%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Чистая прибыль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417 387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23,1%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3.3. Управленческая команда (новая статья расходов)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Для устойчивого управления проектом формируется постоянная команда из 7 специалистов. Ставки — минимальные фиксированные, без процентных надбавок с концертов.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Должность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Ставка, руб./мес.</w:t>
            </w:r>
          </w:p>
        </w:tc>
      </w:tr>
      <w:tr>
        <w:tc>
          <w:tcPr>
            <w:tcW w:type="dxa" w:w="56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Руководитель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Менеджер выездных мероприятий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SMM-специалист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Концертный директор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Куратор концертов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Специалист по сайту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Координатор программ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25 000</w:t>
            </w:r>
          </w:p>
        </w:tc>
      </w:tr>
      <w:tr>
        <w:tc>
          <w:tcPr>
            <w:tcW w:type="dxa" w:w="5669"/>
            <w:vAlign w:val="center"/>
            <w:shd w:val="clear" w:color="auto" w:fill="E2EFDA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в месяц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175 000</w:t>
            </w:r>
          </w:p>
        </w:tc>
      </w:tr>
      <w:tr>
        <w:tc>
          <w:tcPr>
            <w:tcW w:type="dxa" w:w="5669"/>
            <w:vAlign w:val="center"/>
            <w:shd w:val="clear" w:color="auto" w:fill="E2EFDA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 в год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2 100 000</w:t>
            </w:r>
          </w:p>
        </w:tc>
      </w:tr>
    </w:tbl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Управленческие расходы составят 175 000 руб./мес. (2 100 000 руб./год). Это дополнительная постоянная статья затрат, не зависящая от числа концертов.</w:t>
      </w:r>
    </w:p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4. ПРЕДЛОЖЕНИЯ ПО ОПТИМИЗАЦИИ РАСХОДОВ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Три приоритетные статьи для снижения: гонорары (43,4%), аренда (16,7%), комиссия агрегатора (8,0%) — суммарно 68,1% выручки.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4.1. Гонорары артистам: 43,4% → 39,0%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Переход на сезонные контракты с блок-бронированием 10+ дат.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Фиксированная ставка 4 000 руб./артист с гарантией занятости.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Экономия/мес. (от ноябрьской выручки): (43,4% − 39,0%) × 1 804 520 = 79 399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Годовая экономия: ~794 000 руб.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4.2. Аренда зала: 16,7% → 14,0%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Годовые договоры с якорными площадками — гарантия 30+ дат/год.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Скидка 2–3 п.п. за предоплату сезона.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Экономия/мес.: (16,7% − 14,0%) × 1 804 520 = 48 722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Годовая экономия: ~487 000 руб.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4.3. Ticketscloud: 8,0% → 6,0%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При обороте &gt;15 млн руб./год — основание для индивидуальной ставки (2025: 18 млн руб.).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Экономия/мес.: (8,0% − 6,0%) × 1 804 520 = 36 090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Годовая экономия: ~361 000 руб.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4.4. Прочие расходы: 2,6% → 2,0%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Централизация закупок; цифровизация документооборота.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Экономия/мес.: 10 827 руб. Годовая: ~108 000 руб.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Статья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Текущий %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Целевой %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Экономия/мес.</w:t>
            </w:r>
          </w:p>
        </w:tc>
        <w:tc>
          <w:tcPr>
            <w:tcW w:type="dxa" w:w="209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Экономия/год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Гонорары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43,4%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39,0%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79 399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~794 000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Аренда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16,7%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14,0%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48 722</w:t>
            </w:r>
          </w:p>
        </w:tc>
        <w:tc>
          <w:tcPr>
            <w:tcW w:type="dxa" w:w="209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~487 000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Ticketscloud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8,0%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36 090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~361 000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Прочие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2,6%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2,0%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10 827</w:t>
            </w:r>
          </w:p>
        </w:tc>
        <w:tc>
          <w:tcPr>
            <w:tcW w:type="dxa" w:w="2098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~108 000</w:t>
            </w:r>
          </w:p>
        </w:tc>
      </w:tr>
      <w:tr>
        <w:tc>
          <w:tcPr>
            <w:tcW w:type="dxa" w:w="2551"/>
            <w:vAlign w:val="center"/>
            <w:shd w:val="clear" w:color="auto" w:fill="E2EFDA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ИТОГО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70,7%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61,0%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175 038</w:t>
            </w:r>
          </w:p>
        </w:tc>
        <w:tc>
          <w:tcPr>
            <w:tcW w:type="dxa" w:w="2098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~1 750 000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5. ТОЧКА БЕЗУБЫТОЧНОСТИ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С учётом реальных параметров зала (35 мест, 2 800 руб./билет, заполняемость 75%) и добавленной управленческой команды: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Выручка с концерта: 35 × 2 800 × 75% = 73 500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Переменные затраты (70,7%): 73 500 × 70,7% = 51 965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Маржинальная прибыль на концерт: 73 500 − 51 965 = 21 535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Постоянные затраты/мес.: 200 000 руб. (налог + адм.) + 175 000 руб. (команда) = 375 000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Точка безубыточности: 375 000 ÷ 21 535 ≈ 17 концертов/мес.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Факт: 36 концертов/мес. (437 ÷ 12). Запас прочности: +19 концертов.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386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Вместимость, мест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 билет, руб.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2 800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Заполняемость, %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75%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Выручка/концерт (75%), руб.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73 500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Переменные затраты/концерт (70,7%),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51 965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Маржинальная прибыль/концерт, руб.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21 535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Пост. затраты (налог+адм.), руб./мес.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200 000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Пост. затраты (управл. команда), руб./мес.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175 000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Постоянные затраты ИТОГО, руб./мес.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375 000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ТБУ (концертов/мес.)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~17</w:t>
            </w:r>
          </w:p>
        </w:tc>
      </w:tr>
      <w:tr>
        <w:tc>
          <w:tcPr>
            <w:tcW w:type="dxa" w:w="5386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Фактически концертов/мес. (2025)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Запас прочности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+19 концертов (2,1×)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6. ПУТИ РАЗВИТИЯ — ПЯТЬ СЦЕНАРИЕВ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Сценарий 1. Органический рост (+10% концертов, +5%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Расширение расписания на 44 концерта в год (до 481).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Небольшое повышение цен: средний билет 2 940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~500 000 руб. (маркетинг).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1,10 × 1,05 = 20 791 341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НИЗКИЙ. Минимальные вложения, проверенная модель.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Сценарий 2. Расширение репертуара (+25% концертов, +10%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Новые тематические программы: «Времена года», «Балет для детей».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~2 000 000 руб. (создание контента, репетиции).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1,25 × 1,10 = 24 751 596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СРЕДНИЙ.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Сценарий 3. Онлайн-трансляции (+5% концертов, +15% чека)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Платный стриминг для региональной аудитории.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~3 000 000 руб. (студия, инфраструктура).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Прогнозная выручка: 18 001 161 × 1,05 × 1,15 = 21 751 402 руб.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ВЫСОКИЙ.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Сценарий 4. Абонементная модель (продажа пакетов на сезон)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Абонемент на 8 концертов по цене 7 × 2 800 = 19 600 руб. (1 концерт в подарок).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Обеспечивает авансовый cash flow, снижает апрельский кассовый разрыв.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~200 000 руб. (маркетинг, CRM).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Цель: 30% мест по абонементам → стабилизация выручки.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НИЗКИЙ.</w:t>
      </w:r>
    </w:p>
    <w:p>
      <w:pPr>
        <w:spacing w:before="200" w:after="60"/>
      </w:pPr>
      <w:r>
        <w:rPr>
          <w:rFonts w:ascii="Calibri" w:hAnsi="Calibri"/>
          <w:b/>
          <w:i w:val="0"/>
          <w:color w:val="2F5496"/>
          <w:sz w:val="24"/>
        </w:rPr>
        <w:t>Сценарий 5. Партнёрство с детскими учреждениями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Корпоративные договоры с детскими садами, школами, ДДТ на серии концертов.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Гарантированная загрузка 100% зала по сниженной ставке 2 200 руб./место.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Цель: 2 «корпоративных» концерта в неделю = 8/мес. × 35 мест × 2 200 = 616 000 руб./мес. допвыручки.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Инвестиции: ~300 000 руб. (менеджер по работе с учреждениями).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Риск: НИЗКИЙ/СРЕДНИЙ. Длинный цикл согласования с госучреждениями.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Сценарий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Прогноз выручки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Инвестиции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Риск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 Органический рост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20 791 341 руб.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500 000 руб.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Низкий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 Расширение репертуара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24 751 596 руб.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2 000 000 руб.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 Онлайн-трансляции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21 751 402 руб.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3 000 000 руб.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4. Абонементная модель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18 001 161+ руб.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200 000 руб.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Низкий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5. Партнёрство с учрежд.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+7 400 000 руб./год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300 000 руб.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Низкий/Средний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База 2025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18 001 161 руб.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7. УПРАВЛЕНИЕ СЕЗОННОСТЬЮ И РЕЗЕРВНЫЙ ФОНД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Резервный фонд: не менее 400 000 руб. (покрывает апрельский провал).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Авансовая продажа абонементов — cash flow заранее.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Перенос части маркетингового бюджета на февраль–март.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Переговоры с площадками об отсрочке аренды в апреле–мае.</w:t>
      </w:r>
    </w:p>
    <w:p>
      <w:pPr>
        <w:spacing w:before="280" w:after="80"/>
      </w:pPr>
      <w:r>
        <w:rPr>
          <w:rFonts w:ascii="Calibri" w:hAnsi="Calibri"/>
          <w:b/>
          <w:i w:val="0"/>
          <w:color w:val="1F3864"/>
          <w:sz w:val="28"/>
        </w:rPr>
        <w:t>8. ВЫВОДЫ И РЕКОМЕНДАЦИИ</w:t>
      </w:r>
    </w:p>
    <w:p>
      <w:pPr>
        <w:spacing w:before="40" w:after="80"/>
        <w:jc w:val="both"/>
      </w:pPr>
      <w:r>
        <w:rPr>
          <w:rFonts w:ascii="Calibri" w:hAnsi="Calibri"/>
          <w:b w:val="0"/>
          <w:i w:val="0"/>
          <w:sz w:val="22"/>
        </w:rPr>
        <w:t>Проект «Моцарт для детей» финансово устойчив: рентабельность 23,1%, запас прочности 2,1× относительно точки безубыточности с учётом управленческой команды.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Ключевая точка роста: оптимизация затрат даёт +8,7 п.п. рентабельности и ~1,75 млн руб./год.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Управленческая команда (175 000 руб./мес.) — необходимое вложение для масштабирования; окупается при росте выручки на 5–7%.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Быстрые победы: переговоры с Ticketscloud (оборот 18+ млн) и годовые договоры с площадками.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Предпочтительный сценарий: Сценарий 1 (органический рост) + Сценарий 4 (абонементы) — минимальный риск, максимальная стабильность.</w:t>
      </w:r>
    </w:p>
    <w:p>
      <w:pPr>
        <w:pStyle w:val="ListBullet"/>
        <w:spacing w:before="20" w:after="40"/>
        <w:ind w:left="340"/>
      </w:pPr>
      <w:r>
        <w:rPr>
          <w:rFonts w:ascii="Calibri" w:hAnsi="Calibri"/>
          <w:b w:val="0"/>
          <w:i w:val="0"/>
          <w:sz w:val="22"/>
        </w:rPr>
        <w:t>Резерв 400 000 руб. обязателен до конца Q1 2027.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