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note: heat pump adoption in Brightwater</w:t>
      </w:r>
    </w:p>
    <w:p>
      <w:r>
        <w:t>Synthetic internal analysis. All figures are invented.</w:t>
      </w:r>
    </w:p>
    <w:p>
      <w:pPr>
        <w:pStyle w:val="Heading1"/>
      </w:pPr>
      <w:r>
        <w:t>Key findings</w:t>
      </w:r>
    </w:p>
    <w:p>
      <w:r>
        <w:t>Heat pump installations in the fictional municipality of Brightwater doubled between 2023 and 2025, from 3,100 to 6,300 units per year.</w:t>
      </w:r>
    </w:p>
    <w:p>
      <w:r>
        <w:t>The subsidy scheme covering 40 percent of installation costs explains most of the increase; installer capacity is now the binding constraint.</w:t>
      </w:r>
    </w:p>
    <w:p>
      <w:pPr>
        <w:pStyle w:val="Heading1"/>
      </w:pPr>
      <w:r>
        <w:t>Recommendation</w:t>
      </w:r>
    </w:p>
    <w:p>
      <w:r>
        <w:t>Prioritise installer training over further subsidy increases; each additional certified installer adds roughly 85 installations per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