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7555" w14:textId="58EBDAA8" w:rsidR="003C241C" w:rsidRPr="00DD5879" w:rsidRDefault="00DD5879" w:rsidP="00DD5879">
      <w:pPr>
        <w:jc w:val="both"/>
        <w:rPr>
          <w:rFonts w:asciiTheme="minorHAnsi" w:hAnsiTheme="minorHAnsi"/>
          <w:i/>
          <w:iCs/>
          <w:lang w:val="de-AT"/>
        </w:rPr>
      </w:pPr>
      <w:r w:rsidRPr="00DD5879">
        <w:rPr>
          <w:rFonts w:asciiTheme="minorHAnsi" w:hAnsiTheme="minorHAnsi"/>
          <w:lang w:val="de-AT"/>
        </w:rPr>
        <w:t>Die</w:t>
      </w:r>
      <w:r w:rsidRPr="00DD5879">
        <w:rPr>
          <w:rFonts w:asciiTheme="minorHAnsi" w:hAnsiTheme="minorHAnsi"/>
          <w:lang w:val="de-AT"/>
        </w:rPr>
        <w:t xml:space="preserve"> </w:t>
      </w:r>
      <w:r w:rsidRPr="00DD5879">
        <w:rPr>
          <w:rFonts w:asciiTheme="minorHAnsi" w:hAnsiTheme="minorHAnsi"/>
          <w:lang w:val="de-AT"/>
        </w:rPr>
        <w:t>Steiermark ist als Land an der Grenze, als Mark, die ein Vorfeld zum Schutz des dahinterliegenden Gebietes sein soll, mit verschiedenen Völkern in Ber</w:t>
      </w:r>
      <w:r w:rsidRPr="00DD5879">
        <w:rPr>
          <w:rFonts w:asciiTheme="minorHAnsi" w:hAnsiTheme="minorHAnsi"/>
          <w:lang w:val="de-AT"/>
        </w:rPr>
        <w:t>üh</w:t>
      </w:r>
      <w:r w:rsidRPr="00DD5879">
        <w:rPr>
          <w:rFonts w:asciiTheme="minorHAnsi" w:hAnsiTheme="minorHAnsi"/>
          <w:lang w:val="de-AT"/>
        </w:rPr>
        <w:t xml:space="preserve">rung gekommen, auch in Zeiten, als sie noch keine Mark </w:t>
      </w:r>
      <w:r w:rsidRPr="00DD5879">
        <w:rPr>
          <w:rFonts w:asciiTheme="minorHAnsi" w:hAnsiTheme="minorHAnsi"/>
          <w:lang w:val="de-AT"/>
        </w:rPr>
        <w:t>war</w:t>
      </w:r>
      <w:r w:rsidRPr="00DD5879">
        <w:rPr>
          <w:rFonts w:asciiTheme="minorHAnsi" w:hAnsiTheme="minorHAnsi"/>
          <w:lang w:val="de-AT"/>
        </w:rPr>
        <w:t>. Die Namenkunde kann drei verschiedene Schichten im</w:t>
      </w:r>
      <w:r w:rsidRPr="00DD5879">
        <w:rPr>
          <w:rFonts w:asciiTheme="minorHAnsi" w:hAnsiTheme="minorHAnsi"/>
          <w:color w:val="BFBFBF"/>
          <w:lang w:val="de-AT"/>
        </w:rPr>
        <w:t xml:space="preserve"> </w:t>
      </w:r>
      <w:r w:rsidRPr="00DD5879">
        <w:rPr>
          <w:rFonts w:asciiTheme="minorHAnsi" w:hAnsiTheme="minorHAnsi"/>
          <w:lang w:val="de-AT"/>
        </w:rPr>
        <w:t xml:space="preserve">Siedlungsablauf feststellen, deren Zuweisung an bestimmte Stämme und Sprachen </w:t>
      </w:r>
      <w:r w:rsidRPr="00DD5879">
        <w:rPr>
          <w:rFonts w:asciiTheme="minorHAnsi" w:hAnsiTheme="minorHAnsi"/>
          <w:lang w:val="de-AT"/>
        </w:rPr>
        <w:t>jedoch</w:t>
      </w:r>
      <w:r w:rsidRPr="00DD5879">
        <w:rPr>
          <w:rFonts w:asciiTheme="minorHAnsi" w:hAnsiTheme="minorHAnsi"/>
          <w:lang w:val="de-AT"/>
        </w:rPr>
        <w:t xml:space="preserve"> nicht immer mit Sicherheit </w:t>
      </w:r>
      <w:r w:rsidRPr="00DD5879">
        <w:rPr>
          <w:rFonts w:asciiTheme="minorHAnsi" w:hAnsiTheme="minorHAnsi"/>
          <w:lang w:val="de-AT"/>
        </w:rPr>
        <w:t>erfolg</w:t>
      </w:r>
      <w:r w:rsidRPr="00DD5879">
        <w:rPr>
          <w:rFonts w:asciiTheme="minorHAnsi" w:hAnsiTheme="minorHAnsi"/>
          <w:lang w:val="de-AT"/>
        </w:rPr>
        <w:t xml:space="preserve">en kann. Wir können in der zeitlichen Abfolge eine </w:t>
      </w:r>
      <w:r w:rsidRPr="00DD5879">
        <w:rPr>
          <w:rFonts w:asciiTheme="minorHAnsi" w:hAnsiTheme="minorHAnsi"/>
          <w:i/>
          <w:iCs/>
          <w:lang w:val="de-AT"/>
        </w:rPr>
        <w:t xml:space="preserve">vorslawische, </w:t>
      </w:r>
      <w:r w:rsidRPr="00DD5879">
        <w:rPr>
          <w:rFonts w:asciiTheme="minorHAnsi" w:hAnsiTheme="minorHAnsi"/>
          <w:lang w:val="de-AT"/>
        </w:rPr>
        <w:t xml:space="preserve">eine </w:t>
      </w:r>
      <w:r w:rsidRPr="00DD5879">
        <w:rPr>
          <w:rFonts w:asciiTheme="minorHAnsi" w:hAnsiTheme="minorHAnsi"/>
          <w:i/>
          <w:iCs/>
          <w:lang w:val="de-AT"/>
        </w:rPr>
        <w:t xml:space="preserve">slawische </w:t>
      </w:r>
      <w:r w:rsidRPr="00DD5879">
        <w:rPr>
          <w:rFonts w:asciiTheme="minorHAnsi" w:hAnsiTheme="minorHAnsi"/>
          <w:lang w:val="de-AT"/>
        </w:rPr>
        <w:t xml:space="preserve">und </w:t>
      </w:r>
      <w:r w:rsidRPr="00DD5879">
        <w:rPr>
          <w:rFonts w:asciiTheme="minorHAnsi" w:hAnsiTheme="minorHAnsi"/>
          <w:lang w:val="de-AT"/>
        </w:rPr>
        <w:t>e</w:t>
      </w:r>
      <w:r w:rsidRPr="00DD5879">
        <w:rPr>
          <w:rFonts w:asciiTheme="minorHAnsi" w:hAnsiTheme="minorHAnsi"/>
          <w:lang w:val="de-AT"/>
        </w:rPr>
        <w:t xml:space="preserve">ine </w:t>
      </w:r>
      <w:r w:rsidRPr="00DD5879">
        <w:rPr>
          <w:rFonts w:asciiTheme="minorHAnsi" w:hAnsiTheme="minorHAnsi"/>
          <w:i/>
          <w:iCs/>
          <w:lang w:val="de-AT"/>
        </w:rPr>
        <w:t>b</w:t>
      </w:r>
      <w:r w:rsidRPr="00DD5879">
        <w:rPr>
          <w:rFonts w:asciiTheme="minorHAnsi" w:hAnsiTheme="minorHAnsi"/>
          <w:i/>
          <w:iCs/>
          <w:lang w:val="de-AT"/>
        </w:rPr>
        <w:t>a</w:t>
      </w:r>
      <w:r w:rsidRPr="00DD5879">
        <w:rPr>
          <w:rFonts w:asciiTheme="minorHAnsi" w:hAnsiTheme="minorHAnsi"/>
          <w:i/>
          <w:iCs/>
          <w:lang w:val="de-AT"/>
        </w:rPr>
        <w:t>iri</w:t>
      </w:r>
      <w:r w:rsidRPr="00DD5879">
        <w:rPr>
          <w:rFonts w:asciiTheme="minorHAnsi" w:hAnsiTheme="minorHAnsi"/>
          <w:i/>
          <w:lang w:val="de-AT"/>
        </w:rPr>
        <w:t xml:space="preserve">sche </w:t>
      </w:r>
      <w:r w:rsidRPr="00DD5879">
        <w:rPr>
          <w:rFonts w:asciiTheme="minorHAnsi" w:hAnsiTheme="minorHAnsi"/>
          <w:lang w:val="de-AT"/>
        </w:rPr>
        <w:t xml:space="preserve">Bevölkerung erkennen, die </w:t>
      </w:r>
      <w:r w:rsidRPr="00DD5879">
        <w:rPr>
          <w:rFonts w:asciiTheme="minorHAnsi" w:hAnsiTheme="minorHAnsi"/>
          <w:lang w:val="de-AT"/>
        </w:rPr>
        <w:t xml:space="preserve">ihre Spuren </w:t>
      </w:r>
      <w:r w:rsidRPr="00DD5879">
        <w:rPr>
          <w:rFonts w:asciiTheme="minorHAnsi" w:hAnsiTheme="minorHAnsi"/>
          <w:lang w:val="de-AT"/>
        </w:rPr>
        <w:t>in der Namen</w:t>
      </w:r>
      <w:r w:rsidRPr="00DD5879">
        <w:rPr>
          <w:rFonts w:asciiTheme="minorHAnsi" w:hAnsiTheme="minorHAnsi"/>
          <w:lang w:val="de-AT"/>
        </w:rPr>
        <w:t>sgebung hinterlassen hat.</w:t>
      </w:r>
    </w:p>
    <w:p w14:paraId="434EE5C2" w14:textId="77777777" w:rsidR="00DD5879" w:rsidRDefault="00DD5879"/>
    <w:sectPr w:rsidR="00DD5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54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879"/>
    <w:rsid w:val="00081806"/>
    <w:rsid w:val="001164D7"/>
    <w:rsid w:val="00151C0D"/>
    <w:rsid w:val="00274E0C"/>
    <w:rsid w:val="003C241C"/>
    <w:rsid w:val="00484640"/>
    <w:rsid w:val="005B390E"/>
    <w:rsid w:val="00644E00"/>
    <w:rsid w:val="00666D12"/>
    <w:rsid w:val="00834349"/>
    <w:rsid w:val="0095798E"/>
    <w:rsid w:val="00A27142"/>
    <w:rsid w:val="00BC203C"/>
    <w:rsid w:val="00C87F26"/>
    <w:rsid w:val="00DD5879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7BC8E3"/>
  <w15:chartTrackingRefBased/>
  <w15:docId w15:val="{2F82E2BE-C74E-3348-8ADC-B06B3BFE0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879"/>
    <w:pPr>
      <w:widowControl w:val="0"/>
      <w:autoSpaceDE w:val="0"/>
      <w:autoSpaceDN w:val="0"/>
    </w:pPr>
    <w:rPr>
      <w:rFonts w:ascii="Courier New" w:eastAsia="Courier New" w:hAnsi="Courier New" w:cs="Courier New"/>
      <w:kern w:val="0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90E"/>
    <w:pPr>
      <w:keepNext/>
      <w:keepLines/>
      <w:widowControl/>
      <w:autoSpaceDE/>
      <w:autoSpaceDN/>
      <w:snapToGrid w:val="0"/>
      <w:spacing w:before="360" w:after="120"/>
      <w:jc w:val="both"/>
      <w:outlineLvl w:val="0"/>
    </w:pPr>
    <w:rPr>
      <w:rFonts w:asciiTheme="majorHAnsi" w:eastAsiaTheme="majorEastAsia" w:hAnsiTheme="majorHAnsi" w:cs="Times New Roman (Headings CS)"/>
      <w:color w:val="0F4761" w:themeColor="accent1" w:themeShade="BF"/>
      <w:kern w:val="2"/>
      <w:sz w:val="36"/>
      <w:szCs w:val="40"/>
      <w:lang w:val="de-AT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widowControl/>
      <w:autoSpaceDE/>
      <w:autoSpaceDN/>
      <w:snapToGrid w:val="0"/>
      <w:spacing w:before="240" w:after="120"/>
      <w:jc w:val="both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kern w:val="2"/>
      <w:sz w:val="32"/>
      <w:szCs w:val="32"/>
      <w:lang w:val="de-AT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widowControl/>
      <w:autoSpaceDE/>
      <w:autoSpaceDN/>
      <w:snapToGrid w:val="0"/>
      <w:spacing w:before="240" w:after="120"/>
      <w:jc w:val="both"/>
      <w:outlineLvl w:val="2"/>
    </w:pPr>
    <w:rPr>
      <w:rFonts w:asciiTheme="minorHAnsi" w:eastAsiaTheme="majorEastAsia" w:hAnsiTheme="minorHAnsi" w:cs="Times New Roman (Headings CS)"/>
      <w:color w:val="0F4761" w:themeColor="accent1" w:themeShade="BF"/>
      <w:kern w:val="2"/>
      <w:sz w:val="28"/>
      <w:szCs w:val="28"/>
      <w:lang w:val="de-AT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widowControl/>
      <w:autoSpaceDE/>
      <w:autoSpaceDN/>
      <w:snapToGrid w:val="0"/>
      <w:spacing w:before="120" w:after="120"/>
      <w:jc w:val="both"/>
      <w:outlineLvl w:val="3"/>
    </w:pPr>
    <w:rPr>
      <w:rFonts w:asciiTheme="minorHAnsi" w:eastAsiaTheme="majorEastAsia" w:hAnsiTheme="minorHAnsi" w:cs="Times New Roman (Headings CS)"/>
      <w:iCs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widowControl/>
      <w:autoSpaceDE/>
      <w:autoSpaceDN/>
      <w:snapToGrid w:val="0"/>
      <w:spacing w:before="120" w:after="60"/>
      <w:jc w:val="both"/>
      <w:outlineLvl w:val="4"/>
    </w:pPr>
    <w:rPr>
      <w:rFonts w:asciiTheme="minorHAnsi" w:eastAsiaTheme="majorEastAsia" w:hAnsiTheme="minorHAnsi" w:cs="Times New Roman (Headings CS)"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widowControl/>
      <w:autoSpaceDE/>
      <w:autoSpaceDN/>
      <w:snapToGrid w:val="0"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de-AT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879"/>
    <w:pPr>
      <w:keepNext/>
      <w:keepLines/>
      <w:widowControl/>
      <w:autoSpaceDE/>
      <w:autoSpaceDN/>
      <w:snapToGrid w:val="0"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de-AT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879"/>
    <w:pPr>
      <w:keepNext/>
      <w:keepLines/>
      <w:widowControl/>
      <w:autoSpaceDE/>
      <w:autoSpaceDN/>
      <w:snapToGrid w:val="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de-AT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879"/>
    <w:pPr>
      <w:keepNext/>
      <w:keepLines/>
      <w:widowControl/>
      <w:autoSpaceDE/>
      <w:autoSpaceDN/>
      <w:snapToGrid w:val="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de-AT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snapToGrid w:val="0"/>
      <w:spacing w:after="120"/>
      <w:ind w:hanging="340"/>
      <w:jc w:val="both"/>
    </w:pPr>
    <w:rPr>
      <w:rFonts w:ascii="Aptos" w:eastAsia="Arial" w:hAnsi="Aptos" w:cs="Arial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5B390E"/>
    <w:rPr>
      <w:rFonts w:asciiTheme="majorHAnsi" w:eastAsiaTheme="majorEastAsia" w:hAnsiTheme="majorHAnsi" w:cs="Times New Roman (Headings CS)"/>
      <w:color w:val="0F4761" w:themeColor="accent1" w:themeShade="BF"/>
      <w:sz w:val="36"/>
      <w:szCs w:val="40"/>
      <w:lang w:val="de-A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widowControl/>
      <w:autoSpaceDE/>
      <w:autoSpaceDN/>
      <w:snapToGrid w:val="0"/>
      <w:spacing w:after="240"/>
      <w:contextualSpacing/>
      <w:jc w:val="both"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widowControl/>
      <w:tabs>
        <w:tab w:val="right" w:pos="9072"/>
      </w:tabs>
      <w:autoSpaceDE/>
      <w:autoSpaceDN/>
      <w:snapToGrid w:val="0"/>
      <w:spacing w:before="120" w:after="120"/>
      <w:ind w:left="340"/>
      <w:jc w:val="both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de-AT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widowControl/>
      <w:autoSpaceDE/>
      <w:autoSpaceDN/>
      <w:snapToGrid w:val="0"/>
      <w:ind w:left="340"/>
      <w:contextualSpacing/>
      <w:jc w:val="both"/>
    </w:pPr>
    <w:rPr>
      <w:rFonts w:asciiTheme="minorHAnsi" w:eastAsiaTheme="minorHAnsi" w:hAnsiTheme="minorHAnsi" w:cstheme="minorBidi"/>
      <w:kern w:val="2"/>
      <w:sz w:val="24"/>
      <w:szCs w:val="24"/>
      <w:lang w:val="de-AT"/>
      <w14:ligatures w14:val="standardContextual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widowControl/>
      <w:autoSpaceDE/>
      <w:autoSpaceDN/>
      <w:snapToGrid w:val="0"/>
      <w:spacing w:after="60"/>
      <w:ind w:left="340" w:hanging="340"/>
      <w:jc w:val="both"/>
    </w:pPr>
    <w:rPr>
      <w:rFonts w:asciiTheme="minorHAnsi" w:eastAsiaTheme="minorHAnsi" w:hAnsiTheme="minorHAnsi" w:cstheme="minorBidi"/>
      <w:kern w:val="2"/>
      <w:sz w:val="20"/>
      <w:szCs w:val="20"/>
      <w:lang w:val="de-AT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widowControl/>
      <w:autoSpaceDE/>
      <w:autoSpaceDN/>
      <w:snapToGrid w:val="0"/>
      <w:ind w:left="340"/>
      <w:jc w:val="both"/>
    </w:pPr>
    <w:rPr>
      <w:rFonts w:asciiTheme="minorHAnsi" w:eastAsiaTheme="minorHAnsi" w:hAnsiTheme="minorHAnsi" w:cstheme="minorBidi"/>
      <w:kern w:val="2"/>
      <w:sz w:val="24"/>
      <w:szCs w:val="24"/>
      <w:lang w:val="de-AT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napToGrid w:val="0"/>
      <w:spacing w:before="120" w:after="120"/>
      <w:ind w:left="340" w:right="340"/>
      <w:jc w:val="both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de-AT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widowControl/>
      <w:numPr>
        <w:ilvl w:val="1"/>
      </w:numPr>
      <w:autoSpaceDE/>
      <w:autoSpaceDN/>
      <w:snapToGrid w:val="0"/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AT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879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879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879"/>
    <w:rPr>
      <w:rFonts w:eastAsiaTheme="majorEastAsia" w:cstheme="majorBidi"/>
      <w:color w:val="272727" w:themeColor="text1" w:themeTint="D8"/>
      <w:lang w:val="de-AT"/>
    </w:rPr>
  </w:style>
  <w:style w:type="paragraph" w:styleId="BodyText">
    <w:name w:val="Body Text"/>
    <w:basedOn w:val="Normal"/>
    <w:link w:val="BodyTextChar"/>
    <w:uiPriority w:val="1"/>
    <w:qFormat/>
    <w:rsid w:val="00DD5879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DD5879"/>
    <w:rPr>
      <w:rFonts w:ascii="Courier New" w:eastAsia="Courier New" w:hAnsi="Courier New" w:cs="Courier New"/>
      <w:kern w:val="0"/>
      <w:sz w:val="27"/>
      <w:szCs w:val="27"/>
      <w:lang w:val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2025-11-27T12:15:00Z</dcterms:created>
  <dcterms:modified xsi:type="dcterms:W3CDTF">2025-11-27T12:18:00Z</dcterms:modified>
</cp:coreProperties>
</file>