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AE87" w14:textId="3D828A9A" w:rsidR="00AC0381" w:rsidRPr="00017C9D" w:rsidRDefault="00000000" w:rsidP="00017C9D">
      <w:pPr>
        <w:spacing w:after="3" w:line="303" w:lineRule="auto"/>
        <w:ind w:left="14"/>
        <w:jc w:val="both"/>
        <w:rPr>
          <w:rFonts w:asciiTheme="minorHAnsi" w:hAnsiTheme="minorHAnsi"/>
          <w:kern w:val="0"/>
          <w:sz w:val="24"/>
          <w:lang w:val="de-AT"/>
        </w:rPr>
      </w:pP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Die wissenschaftliche Beschäftigung mit arabischen Kontaktsprachen steht erst am Anfang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.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 Im allgemeinen </w:t>
      </w:r>
      <w:r w:rsidRPr="00017C9D">
        <w:rPr>
          <w:rFonts w:asciiTheme="minorHAnsi" w:hAnsiTheme="minorHAnsi"/>
          <w:noProof/>
          <w:kern w:val="0"/>
          <w:sz w:val="24"/>
          <w:lang w:val="de-AT"/>
        </w:rPr>
        <w:drawing>
          <wp:inline distT="0" distB="0" distL="0" distR="0" wp14:anchorId="3B81175C" wp14:editId="626A09A6">
            <wp:extent cx="3048" cy="3048"/>
            <wp:effectExtent l="0" t="0" r="0" b="0"/>
            <wp:docPr id="1316" name="Picture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Sprachgebrauch wird der Ausdruck </w:t>
      </w:r>
      <w:r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 xml:space="preserve">Pidgin </w:t>
      </w:r>
      <w:proofErr w:type="spellStart"/>
      <w:r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>Arabic</w:t>
      </w:r>
      <w:proofErr w:type="spellEnd"/>
      <w:r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 xml:space="preserve"> 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verwendet, wenn über die ungenügende Beherrschung der modernen arabischen Schriftsprache Klage geführt wird, wie dies in der in Kairo erscheinenden Tageszeitung </w:t>
      </w:r>
      <w:r w:rsidR="00017C9D"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 xml:space="preserve">The </w:t>
      </w:r>
      <w:proofErr w:type="spellStart"/>
      <w:r w:rsidR="00017C9D"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>Egyptian</w:t>
      </w:r>
      <w:proofErr w:type="spellEnd"/>
      <w:r w:rsidR="00017C9D"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 xml:space="preserve"> </w:t>
      </w:r>
      <w:proofErr w:type="gramStart"/>
      <w:r w:rsidR="00017C9D" w:rsidRPr="00017C9D">
        <w:rPr>
          <w:rFonts w:asciiTheme="minorHAnsi" w:eastAsia="Courier New" w:hAnsiTheme="minorHAnsi" w:cs="Courier New"/>
          <w:i/>
          <w:iCs/>
          <w:kern w:val="0"/>
          <w:sz w:val="24"/>
          <w:lang w:val="de-AT"/>
        </w:rPr>
        <w:t>Gazette</w:t>
      </w:r>
      <w:proofErr w:type="gramEnd"/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 vom 6. April 1982 geschah. 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Die nationale arabische Philologie hat sich seit jeher</w:t>
      </w:r>
      <w:r w:rsidR="00017C9D" w:rsidRPr="00017C9D">
        <w:rPr>
          <w:rFonts w:asciiTheme="minorHAnsi" w:hAnsiTheme="minorHAnsi"/>
          <w:kern w:val="0"/>
          <w:sz w:val="24"/>
          <w:lang w:val="de-AT"/>
        </w:rPr>
        <w:t xml:space="preserve"> am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 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k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lassischen Arabisch orientiert und nicht einmal Dialekte zur Kenntnis genommen, gesch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w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eige denn Kontak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ts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prachen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.</w:t>
      </w:r>
      <w:r w:rsidR="00017C9D" w:rsidRPr="00017C9D">
        <w:rPr>
          <w:rFonts w:asciiTheme="minorHAnsi" w:hAnsiTheme="minorHAnsi"/>
          <w:kern w:val="0"/>
          <w:sz w:val="24"/>
          <w:lang w:val="de-AT"/>
        </w:rPr>
        <w:t xml:space="preserve"> 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Weniger verständlich ist es, da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ss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 die abendländische </w:t>
      </w:r>
      <w:r w:rsidRPr="00017C9D">
        <w:rPr>
          <w:rFonts w:asciiTheme="minorHAnsi" w:hAnsiTheme="minorHAnsi"/>
          <w:noProof/>
          <w:kern w:val="0"/>
          <w:sz w:val="24"/>
          <w:lang w:val="de-AT"/>
        </w:rPr>
        <w:drawing>
          <wp:inline distT="0" distB="0" distL="0" distR="0" wp14:anchorId="16EBA456" wp14:editId="690C3E0C">
            <wp:extent cx="3048" cy="3048"/>
            <wp:effectExtent l="0" t="0" r="0" b="0"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 xml:space="preserve">Arabistik lange Zeit keine eigenen Wege gegangen ist, </w:t>
      </w:r>
      <w:r w:rsidRPr="00017C9D">
        <w:rPr>
          <w:rFonts w:asciiTheme="minorHAnsi" w:hAnsiTheme="minorHAnsi"/>
          <w:noProof/>
          <w:kern w:val="0"/>
          <w:sz w:val="24"/>
          <w:lang w:val="de-AT"/>
        </w:rPr>
        <w:drawing>
          <wp:inline distT="0" distB="0" distL="0" distR="0" wp14:anchorId="15B54527" wp14:editId="662AA722">
            <wp:extent cx="3048" cy="3049"/>
            <wp:effectExtent l="0" t="0" r="0" b="0"/>
            <wp:docPr id="1322" name="Picture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Picture 1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ob</w:t>
      </w:r>
      <w:r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wohl das Phänomen der Diglossie in allen arabischen Ländern besteht</w:t>
      </w:r>
      <w:r w:rsidR="00017C9D" w:rsidRPr="00017C9D">
        <w:rPr>
          <w:rFonts w:asciiTheme="minorHAnsi" w:eastAsia="Courier New" w:hAnsiTheme="minorHAnsi" w:cs="Courier New"/>
          <w:kern w:val="0"/>
          <w:sz w:val="24"/>
          <w:lang w:val="de-AT"/>
        </w:rPr>
        <w:t>.</w:t>
      </w:r>
    </w:p>
    <w:sectPr w:rsidR="00AC0381" w:rsidRPr="00017C9D">
      <w:pgSz w:w="12240" w:h="16840"/>
      <w:pgMar w:top="1440" w:right="2794" w:bottom="1440" w:left="12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4719"/>
    <w:multiLevelType w:val="hybridMultilevel"/>
    <w:tmpl w:val="7E98323E"/>
    <w:lvl w:ilvl="0" w:tplc="DC8EEACC">
      <w:start w:val="1"/>
      <w:numFmt w:val="bullet"/>
      <w:lvlText w:val="-"/>
      <w:lvlJc w:val="left"/>
      <w:pPr>
        <w:ind w:left="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1" w:tplc="59D84640">
      <w:start w:val="1"/>
      <w:numFmt w:val="bullet"/>
      <w:lvlText w:val="o"/>
      <w:lvlJc w:val="left"/>
      <w:pPr>
        <w:ind w:left="45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2" w:tplc="7CE4B26E">
      <w:start w:val="1"/>
      <w:numFmt w:val="bullet"/>
      <w:lvlText w:val="▪"/>
      <w:lvlJc w:val="left"/>
      <w:pPr>
        <w:ind w:left="52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3" w:tplc="D2F0E928">
      <w:start w:val="1"/>
      <w:numFmt w:val="bullet"/>
      <w:lvlText w:val="•"/>
      <w:lvlJc w:val="left"/>
      <w:pPr>
        <w:ind w:left="5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4" w:tplc="211A3530">
      <w:start w:val="1"/>
      <w:numFmt w:val="bullet"/>
      <w:lvlText w:val="o"/>
      <w:lvlJc w:val="left"/>
      <w:pPr>
        <w:ind w:left="6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5" w:tplc="F086C714">
      <w:start w:val="1"/>
      <w:numFmt w:val="bullet"/>
      <w:lvlText w:val="▪"/>
      <w:lvlJc w:val="left"/>
      <w:pPr>
        <w:ind w:left="7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6" w:tplc="02D4F6F0">
      <w:start w:val="1"/>
      <w:numFmt w:val="bullet"/>
      <w:lvlText w:val="•"/>
      <w:lvlJc w:val="left"/>
      <w:pPr>
        <w:ind w:left="8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7" w:tplc="FD4E6226">
      <w:start w:val="1"/>
      <w:numFmt w:val="bullet"/>
      <w:lvlText w:val="o"/>
      <w:lvlJc w:val="left"/>
      <w:pPr>
        <w:ind w:left="8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8" w:tplc="B6321CBE">
      <w:start w:val="1"/>
      <w:numFmt w:val="bullet"/>
      <w:lvlText w:val="▪"/>
      <w:lvlJc w:val="left"/>
      <w:pPr>
        <w:ind w:left="9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22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46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81"/>
    <w:rsid w:val="00017C9D"/>
    <w:rsid w:val="00AC0381"/>
    <w:rsid w:val="00B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3A5C11"/>
  <w15:docId w15:val="{336F5DB9-4BD3-F14F-A6E1-80BFC63F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2025-11-27T12:42:00Z</dcterms:created>
  <dcterms:modified xsi:type="dcterms:W3CDTF">2025-11-27T12:42:00Z</dcterms:modified>
</cp:coreProperties>
</file>