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EA1E" w14:textId="661CA9D8" w:rsidR="0043249A" w:rsidRDefault="00000000" w:rsidP="00A73579">
      <w:r>
        <w:t xml:space="preserve">Zunächst und zuvörderst: Was ich das </w:t>
      </w:r>
      <w:r w:rsidR="00A73579">
        <w:t>a</w:t>
      </w:r>
      <w:r>
        <w:t xml:space="preserve">gonale Prinzip in der (humanen) Kultur nennen möchte, ist zentral und prinzipiell. Ich verstehe die spielerische (Lebens)Haltung als fundamentales Handlungsmuster </w:t>
      </w:r>
      <w:r w:rsidR="00A73579">
        <w:t>fü</w:t>
      </w:r>
      <w:r>
        <w:t>r jegliches Tun (oder Unterlassen).</w:t>
      </w:r>
      <w:r w:rsidR="00A73579">
        <w:t xml:space="preserve"> </w:t>
      </w:r>
      <w:r>
        <w:t>Da</w:t>
      </w:r>
      <w:r w:rsidR="00A73579">
        <w:t>ss</w:t>
      </w:r>
      <w:r>
        <w:t xml:space="preserve"> durch den pseudo-griechischen Ausdruck agonal auch der mit jedem Spiel (notwendig und wesentlich?) verbundene Aspekt des Wagnisses, ja des Tödlichen, hereinspielt, halte ich </w:t>
      </w:r>
      <w:r w:rsidR="00A73579">
        <w:t>fü</w:t>
      </w:r>
      <w:r>
        <w:t>r unvermeidlich.</w:t>
      </w:r>
      <w:r w:rsidR="00A73579">
        <w:t xml:space="preserve"> </w:t>
      </w:r>
      <w:r>
        <w:t>Dieses einleitende Nachwort widmet sich und den Leser der Tatsache, da</w:t>
      </w:r>
      <w:r w:rsidR="00A73579">
        <w:t>ss</w:t>
      </w:r>
      <w:r>
        <w:t xml:space="preserve"> die erlebte Realität in ihrer sprachlichen Darstellung so ernst genommen werden sollte wie ein Spiel.</w:t>
      </w:r>
      <w:r w:rsidR="00A73579">
        <w:t xml:space="preserve"> </w:t>
      </w:r>
      <w:r>
        <w:t>Was den Sportsleuten einleuchtet, gilt auch hier: Spiele sind ernst gemeint und werden auch ernst genommen. So ist jedes Gespräch ein Spiel, das von Regeln geleitet wird, dessen Einzelzüge meist so stark konventionalisiert (also erwartbar) sind, da</w:t>
      </w:r>
      <w:r w:rsidR="00A73579">
        <w:t>ss</w:t>
      </w:r>
      <w:r>
        <w:t xml:space="preserve"> sie auch zur Täuschung verwendet werden können. Bei Lichte betrachtet sind Täuschungen integrierte Bestandteile vieler Spiele.</w:t>
      </w:r>
    </w:p>
    <w:sectPr w:rsidR="0043249A" w:rsidSect="00A73579">
      <w:footnotePr>
        <w:numRestart w:val="eachPage"/>
      </w:footnotePr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479D" w14:textId="77777777" w:rsidR="004E7997" w:rsidRDefault="004E7997">
      <w:r>
        <w:separator/>
      </w:r>
    </w:p>
  </w:endnote>
  <w:endnote w:type="continuationSeparator" w:id="0">
    <w:p w14:paraId="2353C3DC" w14:textId="77777777" w:rsidR="004E7997" w:rsidRDefault="004E7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4A67" w14:textId="77777777" w:rsidR="004E7997" w:rsidRDefault="004E7997">
      <w:pPr>
        <w:spacing w:after="172" w:line="216" w:lineRule="auto"/>
        <w:ind w:left="404" w:hanging="399"/>
      </w:pPr>
      <w:r>
        <w:separator/>
      </w:r>
    </w:p>
  </w:footnote>
  <w:footnote w:type="continuationSeparator" w:id="0">
    <w:p w14:paraId="25CC6975" w14:textId="77777777" w:rsidR="004E7997" w:rsidRDefault="004E7997">
      <w:pPr>
        <w:spacing w:after="172" w:line="216" w:lineRule="auto"/>
        <w:ind w:left="404" w:hanging="399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9A"/>
    <w:rsid w:val="0043249A"/>
    <w:rsid w:val="004E7997"/>
    <w:rsid w:val="00A73579"/>
    <w:rsid w:val="00B3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5F2FE9"/>
  <w15:docId w15:val="{E53277D0-04E1-A649-A0CD-67D63280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579"/>
    <w:pPr>
      <w:spacing w:after="0" w:line="240" w:lineRule="auto"/>
      <w:jc w:val="both"/>
    </w:pPr>
    <w:rPr>
      <w:rFonts w:ascii="Aptos" w:eastAsia="Times New Roman" w:hAnsi="Aptos" w:cs="Times New Roman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172" w:line="242" w:lineRule="auto"/>
      <w:ind w:left="394" w:hanging="389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16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2025-11-28T09:29:00Z</dcterms:created>
  <dcterms:modified xsi:type="dcterms:W3CDTF">2025-11-28T09:29:00Z</dcterms:modified>
</cp:coreProperties>
</file>