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8CC5" w14:textId="35832FEC" w:rsidR="00685ABF" w:rsidRPr="00685ABF" w:rsidRDefault="00685ABF">
      <w:r w:rsidRPr="00685ABF">
        <w:rPr>
          <w:rFonts w:cs="ƒ_ı#t"/>
          <w:kern w:val="0"/>
        </w:rPr>
        <w:t>De</w:t>
      </w:r>
      <w:r w:rsidRPr="00685ABF">
        <w:rPr>
          <w:rFonts w:cs="ƒ_ı#t"/>
          <w:kern w:val="0"/>
        </w:rPr>
        <w:t>r</w:t>
      </w:r>
      <w:r w:rsidRPr="00685ABF">
        <w:rPr>
          <w:rFonts w:cs="ƒ_ı#t"/>
          <w:kern w:val="0"/>
        </w:rPr>
        <w:t xml:space="preserve"> vorliegende </w:t>
      </w:r>
      <w:r w:rsidRPr="00685ABF">
        <w:rPr>
          <w:rFonts w:cs="ƒ_ı#t"/>
          <w:kern w:val="0"/>
        </w:rPr>
        <w:t>Text</w:t>
      </w:r>
      <w:r w:rsidRPr="00685ABF">
        <w:rPr>
          <w:rFonts w:cs="ƒ_ı#t"/>
          <w:kern w:val="0"/>
        </w:rPr>
        <w:t xml:space="preserve"> eröffnet eine Reise in die Kultur-, Glaubens</w:t>
      </w:r>
      <w:r w:rsidRPr="00685ABF">
        <w:rPr>
          <w:rFonts w:cs="ƒ_ı#t"/>
          <w:kern w:val="0"/>
        </w:rPr>
        <w:t xml:space="preserve">- </w:t>
      </w:r>
      <w:r w:rsidRPr="00685ABF">
        <w:rPr>
          <w:rFonts w:cs="ƒ_ı#t"/>
          <w:kern w:val="0"/>
        </w:rPr>
        <w:t>und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Sprachwelt der Menschen in und aus Dersim, die Mitglieder des</w:t>
      </w:r>
      <w:r w:rsidRPr="00685ABF">
        <w:rPr>
          <w:rFonts w:cs="ƒ_ı#t"/>
          <w:kern w:val="0"/>
        </w:rPr>
        <w:t xml:space="preserve"> </w:t>
      </w:r>
      <w:proofErr w:type="spellStart"/>
      <w:r w:rsidRPr="00685ABF">
        <w:rPr>
          <w:rFonts w:cs="ƒ_ı#t"/>
          <w:kern w:val="0"/>
        </w:rPr>
        <w:t>Kızılbaş</w:t>
      </w:r>
      <w:proofErr w:type="spellEnd"/>
      <w:r w:rsidRPr="00685ABF">
        <w:rPr>
          <w:rFonts w:cs="ƒ_ı#t"/>
          <w:kern w:val="0"/>
        </w:rPr>
        <w:t>-Alevitischen Glaubens und Sprecher*innen der Zaza-Sprache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sind. Dank der Möglichkeiten, die die Rahmenbedingungen der heutigen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Welt bieten, wissen wir, dass es verschiedene Gesellschaften gibt, die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unter der Bezeichnung Alevit*</w:t>
      </w:r>
      <w:proofErr w:type="spellStart"/>
      <w:r w:rsidRPr="00685ABF">
        <w:rPr>
          <w:rFonts w:cs="ƒ_ı#t"/>
          <w:kern w:val="0"/>
        </w:rPr>
        <w:t>innentümer</w:t>
      </w:r>
      <w:proofErr w:type="spellEnd"/>
      <w:r w:rsidRPr="00685ABF">
        <w:rPr>
          <w:rFonts w:cs="ƒ_ı#t"/>
          <w:kern w:val="0"/>
        </w:rPr>
        <w:t xml:space="preserve"> zusammengefasst werden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können. Während sich diese Gemeinschaften in ethnischer Zugehörigkeit,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 xml:space="preserve">Sprache und </w:t>
      </w:r>
      <w:r w:rsidRPr="00685ABF">
        <w:rPr>
          <w:rFonts w:cs="ƒ_ı#t"/>
          <w:kern w:val="0"/>
        </w:rPr>
        <w:t>Region</w:t>
      </w:r>
      <w:r w:rsidRPr="00685ABF">
        <w:rPr>
          <w:rFonts w:cs="ƒ_ı#t"/>
          <w:kern w:val="0"/>
        </w:rPr>
        <w:t xml:space="preserve"> sowie in der Art und Weise, wie sie den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Glauben praktizieren und interpretieren, unterscheiden, weisen sie als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dominierte, zum Teil marginalisierte und verfolgte Gruppen, Muster von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Gemeinsamkeiten in soziologischen, sozioökonomischen, historischen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und politischen Fragen auf. Mit dem Hinweis darauf, dass es bislang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verschiedene Studien zum Themenfeld Alevit*</w:t>
      </w:r>
      <w:proofErr w:type="spellStart"/>
      <w:r w:rsidRPr="00685ABF">
        <w:rPr>
          <w:rFonts w:cs="ƒ_ı#t"/>
          <w:kern w:val="0"/>
        </w:rPr>
        <w:t>innentümer</w:t>
      </w:r>
      <w:proofErr w:type="spellEnd"/>
      <w:r w:rsidRPr="00685ABF">
        <w:rPr>
          <w:rFonts w:cs="ƒ_ı#t"/>
          <w:kern w:val="0"/>
        </w:rPr>
        <w:t xml:space="preserve"> gibt, die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zwar noch in Kinderschuhen stecken und dennoch ein umfangreiches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 xml:space="preserve">Forschungsareal bieten, </w:t>
      </w:r>
      <w:r w:rsidRPr="00685ABF">
        <w:rPr>
          <w:rFonts w:cs="ƒ_ı#t"/>
          <w:kern w:val="0"/>
        </w:rPr>
        <w:t>genügt</w:t>
      </w:r>
      <w:r w:rsidRPr="00685ABF">
        <w:rPr>
          <w:rFonts w:cs="ƒ_ı#t"/>
          <w:kern w:val="0"/>
        </w:rPr>
        <w:t xml:space="preserve"> an dieser Stelle die Festhaltung, dass das</w:t>
      </w:r>
      <w:r w:rsidRPr="00685ABF">
        <w:rPr>
          <w:rFonts w:cs="ƒ_ı#t"/>
          <w:kern w:val="0"/>
        </w:rPr>
        <w:t xml:space="preserve"> </w:t>
      </w:r>
      <w:proofErr w:type="spellStart"/>
      <w:r w:rsidRPr="00685ABF">
        <w:rPr>
          <w:rFonts w:cs="ƒ_ı#t"/>
          <w:kern w:val="0"/>
        </w:rPr>
        <w:t>Dersimische</w:t>
      </w:r>
      <w:proofErr w:type="spellEnd"/>
      <w:r w:rsidRPr="00685ABF">
        <w:rPr>
          <w:rFonts w:cs="ƒ_ı#t"/>
          <w:kern w:val="0"/>
        </w:rPr>
        <w:t xml:space="preserve"> </w:t>
      </w:r>
      <w:proofErr w:type="spellStart"/>
      <w:r w:rsidRPr="00685ABF">
        <w:rPr>
          <w:rFonts w:cs="ƒ_ı#t"/>
          <w:kern w:val="0"/>
        </w:rPr>
        <w:t>Kızılbaş</w:t>
      </w:r>
      <w:proofErr w:type="spellEnd"/>
      <w:r w:rsidRPr="00685ABF">
        <w:rPr>
          <w:rFonts w:cs="ƒ_ı#t"/>
          <w:kern w:val="0"/>
        </w:rPr>
        <w:t>-Alevit*</w:t>
      </w:r>
      <w:proofErr w:type="spellStart"/>
      <w:r w:rsidRPr="00685ABF">
        <w:rPr>
          <w:rFonts w:cs="ƒ_ı#t"/>
          <w:kern w:val="0"/>
        </w:rPr>
        <w:t>innentum</w:t>
      </w:r>
      <w:proofErr w:type="spellEnd"/>
      <w:r w:rsidRPr="00685ABF">
        <w:rPr>
          <w:rFonts w:cs="ƒ_ı#t"/>
          <w:kern w:val="0"/>
        </w:rPr>
        <w:t xml:space="preserve"> eine </w:t>
      </w:r>
      <w:r w:rsidRPr="00685ABF">
        <w:rPr>
          <w:rFonts w:cs="ƒ_ı#t"/>
          <w:kern w:val="0"/>
        </w:rPr>
        <w:t>besondere</w:t>
      </w:r>
      <w:r w:rsidRPr="00685ABF">
        <w:rPr>
          <w:rFonts w:cs="ƒ_ı#t"/>
          <w:kern w:val="0"/>
        </w:rPr>
        <w:t xml:space="preserve"> indigene</w:t>
      </w:r>
      <w:r w:rsidRPr="00685ABF">
        <w:rPr>
          <w:rFonts w:cs="ƒ_ı#t"/>
          <w:kern w:val="0"/>
        </w:rPr>
        <w:t xml:space="preserve"> </w:t>
      </w:r>
      <w:r w:rsidRPr="00685ABF">
        <w:rPr>
          <w:rFonts w:cs="ƒ_ı#t"/>
          <w:kern w:val="0"/>
        </w:rPr>
        <w:t>Struktur aufweist.</w:t>
      </w:r>
    </w:p>
    <w:sectPr w:rsidR="00685ABF" w:rsidRPr="00685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ƒ_ı#t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ABF"/>
    <w:rsid w:val="00081806"/>
    <w:rsid w:val="001164D7"/>
    <w:rsid w:val="00151C0D"/>
    <w:rsid w:val="00274E0C"/>
    <w:rsid w:val="003C241C"/>
    <w:rsid w:val="00484640"/>
    <w:rsid w:val="005B390E"/>
    <w:rsid w:val="005D0FE2"/>
    <w:rsid w:val="00644E00"/>
    <w:rsid w:val="00666D12"/>
    <w:rsid w:val="00685ABF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A19E259"/>
  <w15:chartTrackingRefBased/>
  <w15:docId w15:val="{01107484-6C35-2840-8942-7D413722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A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A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A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ABF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ABF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ABF"/>
    <w:rPr>
      <w:rFonts w:eastAsiaTheme="majorEastAsia" w:cstheme="majorBidi"/>
      <w:color w:val="272727" w:themeColor="text1" w:themeTint="D8"/>
      <w:lang w:val="de-A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1</cp:revision>
  <dcterms:created xsi:type="dcterms:W3CDTF">2025-11-30T16:11:00Z</dcterms:created>
  <dcterms:modified xsi:type="dcterms:W3CDTF">2025-11-30T16:14:00Z</dcterms:modified>
</cp:coreProperties>
</file>