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E627" w14:textId="4FB5C3DA" w:rsidR="00B97DFF" w:rsidRPr="00B97DFF" w:rsidRDefault="00B97DFF" w:rsidP="00B97DFF">
      <w:pPr>
        <w:jc w:val="center"/>
        <w:rPr>
          <w:rFonts w:ascii="Times New Roman" w:hAnsi="Times New Roman" w:cs="Times New Roman"/>
          <w:b/>
          <w:bCs/>
          <w:sz w:val="32"/>
          <w:szCs w:val="32"/>
        </w:rPr>
      </w:pPr>
      <w:r w:rsidRPr="00B97DFF">
        <w:rPr>
          <w:rFonts w:ascii="Times New Roman" w:hAnsi="Times New Roman" w:cs="Times New Roman"/>
          <w:b/>
          <w:bCs/>
          <w:sz w:val="32"/>
          <w:szCs w:val="32"/>
        </w:rPr>
        <w:t>From Likes to Change: Assessing the Impact of Citizen Engagement on the European Commission's Social Media Platforms</w:t>
      </w:r>
    </w:p>
    <w:p w14:paraId="3315C2D7" w14:textId="77777777" w:rsidR="00B97DFF" w:rsidRDefault="00B97DFF" w:rsidP="00B97DFF">
      <w:pPr>
        <w:jc w:val="center"/>
        <w:rPr>
          <w:rFonts w:ascii="Times New Roman" w:hAnsi="Times New Roman" w:cs="Times New Roman"/>
          <w:b/>
          <w:bCs/>
          <w:sz w:val="24"/>
          <w:szCs w:val="24"/>
        </w:rPr>
      </w:pPr>
    </w:p>
    <w:p w14:paraId="16965DE2" w14:textId="72A1B443" w:rsidR="00B97DFF" w:rsidRDefault="00B97DFF" w:rsidP="00B97DFF">
      <w:pPr>
        <w:jc w:val="center"/>
        <w:rPr>
          <w:rFonts w:ascii="Times New Roman" w:hAnsi="Times New Roman" w:cs="Times New Roman"/>
          <w:sz w:val="24"/>
          <w:szCs w:val="24"/>
        </w:rPr>
      </w:pPr>
      <w:r>
        <w:rPr>
          <w:rFonts w:ascii="Times New Roman" w:hAnsi="Times New Roman" w:cs="Times New Roman"/>
          <w:sz w:val="24"/>
          <w:szCs w:val="24"/>
        </w:rPr>
        <w:t>Cristian Opariuc-Dan</w:t>
      </w:r>
    </w:p>
    <w:p w14:paraId="0D74B535" w14:textId="5617B74E" w:rsidR="00B97DFF" w:rsidRDefault="00B97DFF" w:rsidP="00B97DFF">
      <w:pPr>
        <w:jc w:val="center"/>
        <w:rPr>
          <w:rFonts w:ascii="Times New Roman" w:hAnsi="Times New Roman" w:cs="Times New Roman"/>
          <w:sz w:val="24"/>
          <w:szCs w:val="24"/>
          <w:lang w:val="ro-RO"/>
        </w:rPr>
      </w:pPr>
      <w:r>
        <w:rPr>
          <w:rFonts w:ascii="Times New Roman" w:hAnsi="Times New Roman" w:cs="Times New Roman"/>
          <w:sz w:val="24"/>
          <w:szCs w:val="24"/>
        </w:rPr>
        <w:t>T</w:t>
      </w:r>
      <w:proofErr w:type="spellStart"/>
      <w:r>
        <w:rPr>
          <w:rFonts w:ascii="Times New Roman" w:hAnsi="Times New Roman" w:cs="Times New Roman"/>
          <w:sz w:val="24"/>
          <w:szCs w:val="24"/>
          <w:lang w:val="ro-RO"/>
        </w:rPr>
        <w:t>ănase</w:t>
      </w:r>
      <w:proofErr w:type="spellEnd"/>
      <w:r>
        <w:rPr>
          <w:rFonts w:ascii="Times New Roman" w:hAnsi="Times New Roman" w:cs="Times New Roman"/>
          <w:sz w:val="24"/>
          <w:szCs w:val="24"/>
          <w:lang w:val="ro-RO"/>
        </w:rPr>
        <w:t xml:space="preserve"> Tasențe</w:t>
      </w:r>
    </w:p>
    <w:p w14:paraId="3AB7C695" w14:textId="77777777" w:rsidR="00B97DFF" w:rsidRDefault="00B97DFF" w:rsidP="00B97DFF">
      <w:pPr>
        <w:jc w:val="center"/>
        <w:rPr>
          <w:rFonts w:ascii="Times New Roman" w:hAnsi="Times New Roman" w:cs="Times New Roman"/>
          <w:sz w:val="24"/>
          <w:szCs w:val="24"/>
          <w:lang w:val="ro-RO"/>
        </w:rPr>
      </w:pPr>
    </w:p>
    <w:p w14:paraId="2EDE04C3" w14:textId="107AF316" w:rsidR="00B97DFF" w:rsidRPr="00B97DFF" w:rsidRDefault="00B97DFF" w:rsidP="00B97DFF">
      <w:pPr>
        <w:jc w:val="center"/>
        <w:rPr>
          <w:rFonts w:ascii="Times New Roman" w:hAnsi="Times New Roman" w:cs="Times New Roman"/>
          <w:i/>
          <w:iCs/>
          <w:sz w:val="24"/>
          <w:szCs w:val="24"/>
          <w:lang w:val="ro-RO"/>
        </w:rPr>
      </w:pPr>
      <w:proofErr w:type="spellStart"/>
      <w:r w:rsidRPr="00B97DFF">
        <w:rPr>
          <w:rFonts w:ascii="Times New Roman" w:hAnsi="Times New Roman" w:cs="Times New Roman"/>
          <w:i/>
          <w:iCs/>
          <w:sz w:val="24"/>
          <w:szCs w:val="24"/>
          <w:lang w:val="ro-RO"/>
        </w:rPr>
        <w:t>Faculty</w:t>
      </w:r>
      <w:proofErr w:type="spellEnd"/>
      <w:r w:rsidRPr="00B97DFF">
        <w:rPr>
          <w:rFonts w:ascii="Times New Roman" w:hAnsi="Times New Roman" w:cs="Times New Roman"/>
          <w:i/>
          <w:iCs/>
          <w:sz w:val="24"/>
          <w:szCs w:val="24"/>
          <w:lang w:val="ro-RO"/>
        </w:rPr>
        <w:t xml:space="preserve"> of Law </w:t>
      </w:r>
      <w:proofErr w:type="spellStart"/>
      <w:r w:rsidRPr="00B97DFF">
        <w:rPr>
          <w:rFonts w:ascii="Times New Roman" w:hAnsi="Times New Roman" w:cs="Times New Roman"/>
          <w:i/>
          <w:iCs/>
          <w:sz w:val="24"/>
          <w:szCs w:val="24"/>
          <w:lang w:val="ro-RO"/>
        </w:rPr>
        <w:t>and</w:t>
      </w:r>
      <w:proofErr w:type="spellEnd"/>
      <w:r w:rsidRPr="00B97DFF">
        <w:rPr>
          <w:rFonts w:ascii="Times New Roman" w:hAnsi="Times New Roman" w:cs="Times New Roman"/>
          <w:i/>
          <w:iCs/>
          <w:sz w:val="24"/>
          <w:szCs w:val="24"/>
          <w:lang w:val="ro-RO"/>
        </w:rPr>
        <w:t xml:space="preserve"> Administrative </w:t>
      </w:r>
      <w:proofErr w:type="spellStart"/>
      <w:r w:rsidRPr="00B97DFF">
        <w:rPr>
          <w:rFonts w:ascii="Times New Roman" w:hAnsi="Times New Roman" w:cs="Times New Roman"/>
          <w:i/>
          <w:iCs/>
          <w:sz w:val="24"/>
          <w:szCs w:val="24"/>
          <w:lang w:val="ro-RO"/>
        </w:rPr>
        <w:t>Sciences</w:t>
      </w:r>
      <w:proofErr w:type="spellEnd"/>
      <w:r w:rsidRPr="00B97DFF">
        <w:rPr>
          <w:rFonts w:ascii="Times New Roman" w:hAnsi="Times New Roman" w:cs="Times New Roman"/>
          <w:i/>
          <w:iCs/>
          <w:sz w:val="24"/>
          <w:szCs w:val="24"/>
          <w:lang w:val="ro-RO"/>
        </w:rPr>
        <w:t>, Ovidius University of Constanța, Romania</w:t>
      </w:r>
    </w:p>
    <w:p w14:paraId="31D39D91" w14:textId="77777777" w:rsidR="00B97DFF" w:rsidRDefault="00B97DFF" w:rsidP="00585DF7">
      <w:pPr>
        <w:rPr>
          <w:rFonts w:ascii="Times New Roman" w:hAnsi="Times New Roman" w:cs="Times New Roman"/>
          <w:b/>
          <w:bCs/>
          <w:sz w:val="24"/>
          <w:szCs w:val="24"/>
        </w:rPr>
      </w:pPr>
    </w:p>
    <w:p w14:paraId="0654BBF9" w14:textId="09342DF4" w:rsidR="00FD4E60" w:rsidRDefault="00FD4E60" w:rsidP="00585DF7">
      <w:pPr>
        <w:rPr>
          <w:rFonts w:ascii="Times New Roman" w:hAnsi="Times New Roman" w:cs="Times New Roman"/>
          <w:b/>
          <w:bCs/>
          <w:sz w:val="24"/>
          <w:szCs w:val="24"/>
        </w:rPr>
      </w:pPr>
      <w:r>
        <w:rPr>
          <w:rFonts w:ascii="Times New Roman" w:hAnsi="Times New Roman" w:cs="Times New Roman"/>
          <w:b/>
          <w:bCs/>
          <w:sz w:val="24"/>
          <w:szCs w:val="24"/>
        </w:rPr>
        <w:t>Introduction</w:t>
      </w:r>
    </w:p>
    <w:p w14:paraId="0E9E6485"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In recent years, the rise of social media platforms has led to significant changes in the way institutions, including public organizations, communicate with their audiences. As a result, the importance of citizen engagement in the process of communication through social media has become increasingly recognized. This engagement involves not only a one-way flow of information from public institutions to citizens, but also an interactive dialogue between the two parties.</w:t>
      </w:r>
    </w:p>
    <w:p w14:paraId="6D830154" w14:textId="07A49C2D"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The concept of engagement in social media has been studied extensively in recent years, with researchers exploring various aspects of this phenomenon. One such study, conducted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{"citationID":"uUrnPttY","properties":{"formattedCitation":"(Dolan et al., 2016)","plainCitation":"(Dolan et al., 2016)","noteIndex":0},"citationItems":[{"id":1735,"uris":["http://zotero.org/users/8951094/items/XUDLEKHK"],"itemData":{"id":1735,"type":"article-journal","container-title":"Journal of strategic marketing","issue":"3-4","note":"publisher: Taylor &amp; Francis","page":"261–277","source":"Google Scholar","title":"Social media engagement behaviour: A uses and gratifications perspective","title-short":"Social media engagement behaviour","volume":"24","author":[{"family":"Dolan","given":"Rebecca"},{"family":"Conduit","given":"Jodie"},{"family":"Fahy","given":"John"},{"family":"Goodman","given":"Steve"}],"issued":{"date-parts":[["2016"]]},"citation-key":"dolanSocialMediaEngagement2016"}}],"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Dolan et al. </w:t>
      </w:r>
      <w:r>
        <w:rPr>
          <w:rFonts w:ascii="Times New Roman" w:hAnsi="Times New Roman" w:cs="Times New Roman"/>
          <w:sz w:val="24"/>
        </w:rPr>
        <w:t>(</w:t>
      </w:r>
      <w:r w:rsidRPr="00FD4E60">
        <w:rPr>
          <w:rFonts w:ascii="Times New Roman" w:hAnsi="Times New Roman" w:cs="Times New Roman"/>
          <w:sz w:val="24"/>
        </w:rPr>
        <w:t>2016)</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approached social media engagement behavior from a uses and gratifications perspective, focusing on the motivations and benefits that users derive from engaging with social media. Meanwhile, the study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{"citationID":"xDzYU4PD","properties":{"formattedCitation":"(Dragseth, 2020)","plainCitation":"(Dragseth, 2020)","noteIndex":0},"citationItems":[{"id":1700,"uris":["http://zotero.org/users/8951094/items/RQ87DQW5"],"itemData":{"id":1700,"type":"article-journal","container-title":"Journal of Political Science Education","issue":"2","note":"publisher: Taylor &amp; Francis","page":"243–256","source":"Google Scholar","title":"Building student engagement through social media","volume":"16","author":[{"family":"Dragseth","given":"Meghann R."}],"issued":{"date-parts":[["2020"]]},"citation-key":"dragsethBuildingStudentEngagement2020"}}],"schema":"https://github.com/citation-style-language/schema/raw/master/csl-citation.json"}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Dragseth </w:t>
      </w:r>
      <w:r>
        <w:rPr>
          <w:rFonts w:ascii="Times New Roman" w:hAnsi="Times New Roman" w:cs="Times New Roman"/>
          <w:sz w:val="24"/>
        </w:rPr>
        <w:t>(</w:t>
      </w:r>
      <w:r w:rsidRPr="00FD4E60">
        <w:rPr>
          <w:rFonts w:ascii="Times New Roman" w:hAnsi="Times New Roman" w:cs="Times New Roman"/>
          <w:sz w:val="24"/>
        </w:rPr>
        <w:t>2020)</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explored how social media can be used to build engagement among students in the context of political science education.</w:t>
      </w:r>
    </w:p>
    <w:p w14:paraId="55D6EA80" w14:textId="2998BC92"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Another important aspect of engagement in social media is the role it plays in activation campaigns aimed at consumers.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{"citationID":"2rYN9gMC","properties":{"formattedCitation":"(Mirbagheri &amp; Najmi, 2019)","plainCitation":"(Mirbagheri &amp; Najmi, 2019)","noteIndex":0},"citationItems":[{"id":1738,"uris":["http://zotero.org/users/8951094/items/354PDJV3"],"itemData":{"id":1738,"type":"article-journal","container-title":"Psychology &amp; marketing","issue":"4","note":"publisher: Wiley Online Library","page":"376–394","source":"Google Scholar","title":"Consumers' engagement with social media activation campaigns: Construct conceptualization and scale development","title-short":"Consumers' engagement with social media activation campaigns","volume":"36","author":[{"family":"Mirbagheri","given":"SeyedAlireza"},{"family":"Najmi","given":"Manoochehr"}],"issued":{"date-parts":[["2019"]]},"citation-key":"mirbagheriConsumersEngagementSocial2019"}}],"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Mirbagheri &amp; Najmi </w:t>
      </w:r>
      <w:r>
        <w:rPr>
          <w:rFonts w:ascii="Times New Roman" w:hAnsi="Times New Roman" w:cs="Times New Roman"/>
          <w:sz w:val="24"/>
        </w:rPr>
        <w:t>(</w:t>
      </w:r>
      <w:r w:rsidRPr="00FD4E60">
        <w:rPr>
          <w:rFonts w:ascii="Times New Roman" w:hAnsi="Times New Roman" w:cs="Times New Roman"/>
          <w:sz w:val="24"/>
        </w:rPr>
        <w:t>2019)</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conceptualized and developed a scale to measure consumers' engagement with social media activation campaigns. Additionally,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{"citationID":"9yQj5RXx","properties":{"formattedCitation":"(Smith &amp; Gallicano, 2015)","plainCitation":"(Smith &amp; Gallicano, 2015)","noteIndex":0},"citationItems":[{"id":1736,"uris":["http://zotero.org/users/8951094/items/EF2VAA92"],"itemData":{"id":1736,"type":"article-journal","container-title":"Computers in human Behavior","note":"publisher: Elsevier","page":"82–90","source":"Google Scholar","title":"Terms of engagement: Analyzing public engagement with organizations through social media","title-short":"Terms of engagement","volume":"53","author":[{"family":"Smith","given":"Brian G."},{"family":"Gallicano","given":"Tiffany Derville"}],"issued":{"date-parts":[["2015"]]},"citation-key":"smithTermsEngagementAnalyzing2015"}}],"schema":"https://github.com/citation-style-language/schema/raw/master/csl-citation.json"}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Smith &amp; Gallicano </w:t>
      </w:r>
      <w:r>
        <w:rPr>
          <w:rFonts w:ascii="Times New Roman" w:hAnsi="Times New Roman" w:cs="Times New Roman"/>
          <w:sz w:val="24"/>
        </w:rPr>
        <w:t>(</w:t>
      </w:r>
      <w:r w:rsidRPr="00FD4E60">
        <w:rPr>
          <w:rFonts w:ascii="Times New Roman" w:hAnsi="Times New Roman" w:cs="Times New Roman"/>
          <w:sz w:val="24"/>
        </w:rPr>
        <w:t>2015)</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analyzed public engagement with organizations through social media, highlighting the importance of two-way communication between public institutions and citizens.</w:t>
      </w:r>
    </w:p>
    <w:p w14:paraId="30EF1B6D" w14:textId="14B0F8C1"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The differentiating role of platform type in engagement with social media and social media advertising was explored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{"citationID":"cKoWwqhj","properties":{"formattedCitation":"(Voorveld et al., 2018)","plainCitation":"(Voorveld et al., 2018)","noteIndex":0},"citationItems":[{"id":1737,"uris":["http://zotero.org/users/8951094/items/RBI34AHX"],"itemData":{"id":1737,"type":"article-journal","container-title":"Journal of advertising","issue":"1","note":"publisher: Taylor &amp; Francis","page":"38–54","source":"Google Scholar","title":"Engagement with social media and social media advertising: The differentiating role of platform type","title-short":"Engagement with social media and social media advertising","volume":"47","author":[{"family":"Voorveld","given":"Hilde AM"},{"family":"Van Noort","given":"Guda"},{"family":"Muntinga","given":"Daniël G."},{"family":"Bronner","given":"Fred"}],"issued":{"date-parts":[["2018"]]},"citation-key":"voorveldEngagementSocialMedia2018"}}],"schema":"https://github.com/citation-style-language/schema/raw/master/csl-citation.json"}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Voorveld et al.</w:t>
      </w:r>
      <w:r>
        <w:rPr>
          <w:rFonts w:ascii="Times New Roman" w:hAnsi="Times New Roman" w:cs="Times New Roman"/>
          <w:sz w:val="24"/>
        </w:rPr>
        <w:t xml:space="preserve"> (</w:t>
      </w:r>
      <w:r w:rsidRPr="00FD4E60">
        <w:rPr>
          <w:rFonts w:ascii="Times New Roman" w:hAnsi="Times New Roman" w:cs="Times New Roman"/>
          <w:sz w:val="24"/>
        </w:rPr>
        <w:t>2018)</w:t>
      </w:r>
      <w:r>
        <w:rPr>
          <w:rFonts w:ascii="Times New Roman" w:hAnsi="Times New Roman" w:cs="Times New Roman"/>
          <w:sz w:val="24"/>
          <w:szCs w:val="24"/>
        </w:rPr>
        <w:fldChar w:fldCharType="end"/>
      </w:r>
      <w:r w:rsidRPr="00FD4E60">
        <w:rPr>
          <w:rFonts w:ascii="Times New Roman" w:hAnsi="Times New Roman" w:cs="Times New Roman"/>
          <w:sz w:val="24"/>
          <w:szCs w:val="24"/>
        </w:rPr>
        <w:t>, who found that the level of engagement varies across different social media platforms.</w:t>
      </w:r>
    </w:p>
    <w:p w14:paraId="5FFBDFCA"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In addition to understanding the various aspects of engagement in social media, it is also important to recognize the significance of citizen engagement in the context of public institutions. Citizen engagement plays a critical role in ensuring transparency and accountability in public decision-making processes. Furthermore, engagement with citizens can lead to the development of more effective policies and programs that better serve the needs of the community.</w:t>
      </w:r>
    </w:p>
    <w:p w14:paraId="5CC53541" w14:textId="22602A2A" w:rsidR="00FD4E60" w:rsidRDefault="00FD4E60" w:rsidP="00FD4E60">
      <w:pPr>
        <w:rPr>
          <w:rFonts w:ascii="Times New Roman" w:hAnsi="Times New Roman" w:cs="Times New Roman"/>
          <w:sz w:val="24"/>
          <w:szCs w:val="24"/>
        </w:rPr>
      </w:pPr>
      <w:r>
        <w:rPr>
          <w:rFonts w:ascii="Times New Roman" w:hAnsi="Times New Roman" w:cs="Times New Roman"/>
          <w:sz w:val="24"/>
          <w:szCs w:val="24"/>
        </w:rPr>
        <w:t>Moreover, t</w:t>
      </w:r>
      <w:r w:rsidRPr="00FD4E60">
        <w:rPr>
          <w:rFonts w:ascii="Times New Roman" w:hAnsi="Times New Roman" w:cs="Times New Roman"/>
          <w:sz w:val="24"/>
          <w:szCs w:val="24"/>
        </w:rPr>
        <w:t>he importance of citizen engagement in the process of communication through social media cannot be overstated. Through social media, public institutions can engage in an interactive dialogue with citizens, build trust, and develop more effective policies and programs. As such, further research, and exploration of the concept of engagement in social media is critical for ensuring that public institutions continue to effectively communicate with and serve the needs of their communities.</w:t>
      </w:r>
    </w:p>
    <w:p w14:paraId="5DE0B07E" w14:textId="662B4EFF" w:rsidR="00FD4E60" w:rsidRPr="00FD4E60" w:rsidRDefault="00FD4E60" w:rsidP="00FD4E60">
      <w:pPr>
        <w:rPr>
          <w:rFonts w:ascii="Times New Roman" w:hAnsi="Times New Roman" w:cs="Times New Roman"/>
          <w:sz w:val="24"/>
          <w:szCs w:val="24"/>
        </w:rPr>
      </w:pPr>
      <w:r>
        <w:rPr>
          <w:rFonts w:ascii="Times New Roman" w:hAnsi="Times New Roman" w:cs="Times New Roman"/>
          <w:sz w:val="24"/>
          <w:szCs w:val="24"/>
        </w:rPr>
        <w:t>C</w:t>
      </w:r>
      <w:r w:rsidRPr="00FD4E60">
        <w:rPr>
          <w:rFonts w:ascii="Times New Roman" w:hAnsi="Times New Roman" w:cs="Times New Roman"/>
          <w:sz w:val="24"/>
          <w:szCs w:val="24"/>
        </w:rPr>
        <w:t xml:space="preserve">itizen engagement through social media can also contribute to the empowerment of individuals and groups, giving them a voice in public decision-making processes and enabling them </w:t>
      </w:r>
      <w:r w:rsidRPr="00FD4E60">
        <w:rPr>
          <w:rFonts w:ascii="Times New Roman" w:hAnsi="Times New Roman" w:cs="Times New Roman"/>
          <w:sz w:val="24"/>
          <w:szCs w:val="24"/>
        </w:rPr>
        <w:lastRenderedPageBreak/>
        <w:t>to hold public institutions accountable for their actions. This can help to build stronger, more resilient communities that are better equipped to respond to challenges and opportunities.</w:t>
      </w:r>
    </w:p>
    <w:p w14:paraId="16E9481E"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It is also important to note that while social media has the potential to be a powerful tool for citizen engagement, there are also challenges and risks associated with its use. These include issues related to privacy, security, and the spread of misinformation and disinformation. As such, public institutions must be mindful of these risks and take steps to mitigate them, while also leveraging the power of social media to engage with citizens in a meaningful way.</w:t>
      </w:r>
    </w:p>
    <w:p w14:paraId="178803FA" w14:textId="45D4EA89" w:rsidR="00FD4E60" w:rsidRPr="00FD4E60" w:rsidRDefault="00FD4E60" w:rsidP="00FD4E60">
      <w:pPr>
        <w:rPr>
          <w:rFonts w:ascii="Times New Roman" w:hAnsi="Times New Roman" w:cs="Times New Roman"/>
          <w:sz w:val="24"/>
          <w:szCs w:val="24"/>
        </w:rPr>
      </w:pPr>
      <w:r>
        <w:rPr>
          <w:rFonts w:ascii="Times New Roman" w:hAnsi="Times New Roman" w:cs="Times New Roman"/>
          <w:sz w:val="24"/>
          <w:szCs w:val="24"/>
        </w:rPr>
        <w:t>Overall</w:t>
      </w:r>
      <w:r w:rsidRPr="00FD4E60">
        <w:rPr>
          <w:rFonts w:ascii="Times New Roman" w:hAnsi="Times New Roman" w:cs="Times New Roman"/>
          <w:sz w:val="24"/>
          <w:szCs w:val="24"/>
        </w:rPr>
        <w:t>, the rise of social media has transformed the way public institutions communicate with citizens, placing a greater emphasis on engagement and two-way communication. Understanding the various aspects of engagement in social media is critical for public institutions to effectively communicate with and serve the needs of their communities. By leveraging the power of social media to engage with citizens, public institutions can build trust, empower individuals and groups, and develop more effective policies and programs that better serve the needs of the community.</w:t>
      </w:r>
    </w:p>
    <w:p w14:paraId="76C4F113" w14:textId="77777777" w:rsidR="00FD4E60" w:rsidRDefault="00FD4E60" w:rsidP="00585DF7">
      <w:pPr>
        <w:rPr>
          <w:rFonts w:ascii="Times New Roman" w:hAnsi="Times New Roman" w:cs="Times New Roman"/>
          <w:b/>
          <w:bCs/>
          <w:sz w:val="24"/>
          <w:szCs w:val="24"/>
        </w:rPr>
      </w:pPr>
    </w:p>
    <w:p w14:paraId="3DD3B81A" w14:textId="7D46205E" w:rsidR="00585DF7" w:rsidRPr="00686F1D" w:rsidRDefault="00585DF7" w:rsidP="00585DF7">
      <w:pPr>
        <w:rPr>
          <w:rFonts w:ascii="Times New Roman" w:hAnsi="Times New Roman" w:cs="Times New Roman"/>
          <w:b/>
          <w:bCs/>
          <w:sz w:val="24"/>
          <w:szCs w:val="24"/>
        </w:rPr>
      </w:pPr>
      <w:r w:rsidRPr="00686F1D">
        <w:rPr>
          <w:rFonts w:ascii="Times New Roman" w:hAnsi="Times New Roman" w:cs="Times New Roman"/>
          <w:b/>
          <w:bCs/>
          <w:sz w:val="24"/>
          <w:szCs w:val="24"/>
        </w:rPr>
        <w:t>Literature review</w:t>
      </w:r>
    </w:p>
    <w:p w14:paraId="09E0CCA5" w14:textId="77777777" w:rsidR="00686F1D" w:rsidRPr="00686F1D"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In the past few years, social media has risen to become a significant means of communication between public institutions and citizens. This has paved the way for increased citizen engagement in the decision-making process, which is considered essential for fostering trust and enhancing accountability. This literature review delves into the significance of citizen involvement in the communication process of public institutions via social media. It does so by amalgamating and synthesizing the findings of diverse studies, each focusing on various facets of social media and citizen engagement within the European Union.</w:t>
      </w:r>
    </w:p>
    <w:p w14:paraId="7186E4F9" w14:textId="7184548A" w:rsidR="00686F1D" w:rsidRPr="00686F1D" w:rsidRDefault="00686F1D" w:rsidP="00686F1D">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{"citationID":"p5GigAnV","properties":{"formattedCitation":"(Bene et al., 2022)","plainCitation":"(Bene et al., 2022)","noteIndex":0},"citationItems":[{"id":1696,"uris":["http://zotero.org/users/8951094/items/7LJM8GLP"],"itemData":{"id":1696,"type":"article-journal","container-title":"Political Communication","issue":"4","note":"publisher: Taylor &amp; Francis","page":"429–453","source":"Google Scholar","title":"Keep them engaged! Investigating the effects of self-centered social media communication style on user engagement in 12 European countries","volume":"39","author":[{"family":"Bene","given":"Márton"},{"family":"Ceron","given":"Andrea"},{"family":"Fenoll","given":"Vicente"},{"family":"Haßler","given":"Jörg"},{"family":"Kruschinski","given":"Simon"},{"family":"Larsson","given":"Anders Olof"},{"family":"Magin","given":"Melanie"},{"family":"Schlosser","given":"Katharina"},{"family":"Wurst","given":"Anna-Katharina"}],"issued":{"date-parts":[["2022"]]},"citation-key":"beneKeepThemEngaged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Bene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conducted a study exploring the impacts of self-centered social media communication styles on user engagement across 12 European nations. Their findings revealed that social media communication emphasizing user participation and fostering feedback effectively boosts user engagement. Social media users who feel they have a say in the decision-making process are more inclined to engage and participate in conversations.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{"citationID":"Jih8QsH1","properties":{"formattedCitation":"(De Wilde et al., 2022)","plainCitation":"(De Wilde et al., 2022)","noteIndex":0},"citationItems":[{"id":1689,"uris":["http://zotero.org/users/8951094/items/IY49DJRI"],"itemData":{"id":1689,"type":"article-journal","container-title":"Politics and Governance","issue":"1","page":"90–96","source":"Google Scholar","title":"Analyzing citizen engagement with European politics on social media","volume":"10","author":[{"family":"De Wilde","given":"Pieter"},{"family":"Rasch","given":"Astrid"},{"family":"Bossetta","given":"Michael"}],"issued":{"date-parts":[["2022"]]},"citation-key":"dewildeAnalyzingCitizenEngagement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De Wilde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examined citizen engagement with European politics on social media platforms and discovered that social media holds the potential to increase citizen involvement and participation in the political sphere. They found that social media offers citizens a platform to express their opinions, partake in discussions, and influence policy-making decisions. In a similar vein,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{"citationID":"9WmIqsnb","properties":{"formattedCitation":"(Bankston, 2021)","plainCitation":"(Bankston, 2021)","noteIndex":0},"citationItems":[{"id":1695,"uris":["http://zotero.org/users/8951094/items/ULIIRDWB"],"itemData":{"id":1695,"type":"chapter","container-title":"Digital Identity, Virtual Borders and Social Media","page":"73–97","publisher":"Edward Elgar Publishing","source":"Google Scholar","title":"Migration and smuggling across virtual borders: A European Union case study of internet governance and immigration politics","title-short":"Migration and smuggling across virtual borders","author":[{"family":"Bankston","given":"Johanna"}],"issued":{"date-parts":[["2021"]]},"citation-key":"bankstonMigrationSmugglingVirtual2021"}}],"schema":"https://github.com/citation-style-language/schema/raw/master/csl-citation.json"}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Bankston </w:t>
      </w:r>
      <w:r>
        <w:rPr>
          <w:rFonts w:ascii="Times New Roman" w:hAnsi="Times New Roman" w:cs="Times New Roman"/>
          <w:sz w:val="24"/>
        </w:rPr>
        <w:t>(</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investigated the role of social media in migration and smuggling across the European Union's virtual borders. This study concluded that social media platforms offer citizens opportunities to engage in dialogues and share their perspectives on immigration policies.</w:t>
      </w:r>
    </w:p>
    <w:p w14:paraId="46AA5A40" w14:textId="0404F9FB" w:rsidR="00686F1D" w:rsidRPr="00686F1D" w:rsidRDefault="00686F1D" w:rsidP="00686F1D">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{"citationID":"60dKlSTq","properties":{"formattedCitation":"(Cinelli et al., 2022)","plainCitation":"(Cinelli et al., 2022)","noteIndex":0},"citationItems":[{"id":1690,"uris":["http://zotero.org/users/8951094/items/W8FF5DEC"],"itemData":{"id":1690,"type":"article-journal","container-title":"Plos one","issue":"10","note":"publisher: Public Library of Science San Francisco, CA USA","page":"e0275534","source":"Google Scholar","title":"Promoting engagement with quality communication in social media","volume":"17","author":[{"family":"Cinelli","given":"Matteo"},{"family":"Peruzzi","given":"Antonio"},{"family":"Schmidt","given":"Ana Lucía"},{"family":"Villa","given":"Roberta"},{"family":"Costa","given":"Enrico"},{"family":"Quattrociocchi","given":"Walter"},{"family":"Zollo","given":"Fabiana"}],"issued":{"date-parts":[["2022"]]},"citation-key":"cinelliPromotingEngagementQuality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Cinelli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on the other hand, delved into promoting engagement with quality communication in social media. Their findings indicated that employing persuasive language, evoking emotions, and utilizing framing can enhance user engagement. The study recommends that public institutions implement quality communication techniques to boost citizen engagement and participation in policy-making.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{"citationID":"PNTkOXJ5","properties":{"formattedCitation":"(M\\uc0\\u252{}ller, 2022)","plainCitation":"(Müller, 2022)","noteIndex":0},"citationItems":[{"id":1692,"uris":["http://zotero.org/users/8951094/items/TEHACQAH"],"itemData":{"id":1692,"type":"article-journal","container-title":"Government Information Quarterly","issue":"2","note":"publisher: Elsevier","page":"101682","source":"Google Scholar","title":"Spreading the word? European Union agencies and social media attention","title-short":"Spreading the word?","volume":"39","author":[{"family":"Müller","given":"Moritz"}],"issued":{"date-parts":[["2022"]]},"citation-key":"mullerSpreadingWordEuropean2022"}}],"schema":"https://github.com/citation-style-language/schema/raw/master/csl-citation.json"}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szCs w:val="24"/>
        </w:rPr>
        <w:t>Müller</w:t>
      </w:r>
      <w:r>
        <w:rPr>
          <w:rFonts w:ascii="Times New Roman" w:hAnsi="Times New Roman" w:cs="Times New Roman"/>
          <w:sz w:val="24"/>
          <w:szCs w:val="24"/>
        </w:rPr>
        <w:t xml:space="preserve"> (</w:t>
      </w:r>
      <w:r w:rsidRPr="00686F1D">
        <w:rPr>
          <w:rFonts w:ascii="Times New Roman" w:hAnsi="Times New Roman" w:cs="Times New Roman"/>
          <w:sz w:val="24"/>
          <w:szCs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analyzed the social media attention garnered by European Union agencies and found a positive correlation between increased attention and higher levels of citizen engagement. This study implies that public institutions can augment citizen </w:t>
      </w:r>
      <w:r w:rsidRPr="00686F1D">
        <w:rPr>
          <w:rFonts w:ascii="Times New Roman" w:hAnsi="Times New Roman" w:cs="Times New Roman"/>
          <w:sz w:val="24"/>
          <w:szCs w:val="24"/>
        </w:rPr>
        <w:lastRenderedPageBreak/>
        <w:t>engagement by effectively utilizing social media to showcase their activities and interact with citizens.</w:t>
      </w:r>
    </w:p>
    <w:p w14:paraId="2B4A30E3" w14:textId="056B104E" w:rsidR="00686F1D" w:rsidRPr="00686F1D"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 xml:space="preserve">Additionally,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{"citationID":"bdxZpX2Z","properties":{"formattedCitation":"(Rus et al., 2021)","plainCitation":"(Rus et al., 2021)","noteIndex":0},"citationItems":[{"id":309,"uris":["http://zotero.org/users/8951094/items/GPJ7AERM"],"itemData":{"id":309,"type":"article-journal","container-title":"Technium Social Sciences Journal","journalAbbreviation":"Technium Soc. Sci. J.","page":"119","title":"Social Media Communication of Public Institutions. Case Study: Representation of the European Commission in Romania","title-short":"Social Media Communication of Public Institutions. Case Study","volume":"17","author":[{"family":"Rus","given":"Mihaela"},{"family":"Tasente","given":"Tanase"},{"family":"Camara","given":"Valentina"}],"issued":{"date-parts":[["2021"]]},"citation-key":"rusSocialMediaCommunication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Rus et al.</w:t>
      </w:r>
      <w:r>
        <w:rPr>
          <w:rFonts w:ascii="Times New Roman" w:hAnsi="Times New Roman" w:cs="Times New Roman"/>
          <w:sz w:val="24"/>
        </w:rPr>
        <w:t xml:space="preserve"> (</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carried out a case study investigating the representation of the European Commission in Romania via social media communication. The study established that social media communication by public institutions can bolster transparency and accountability, consequently leading to heightened citizen engagement.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{"citationID":"t2tImYPo","properties":{"formattedCitation":"(Hancu-Budui et al., 2020)","plainCitation":"(Hancu-Budui et al., 2020)","noteIndex":0},"citationItems":[{"id":1688,"uris":["http://zotero.org/users/8951094/items/L5S7MFCR"],"itemData":{"id":1688,"type":"article-journal","container-title":"Sustainability","issue":"23","note":"publisher: MDPI","page":"9816","source":"Google Scholar","title":"Audit institutions in the European Union: Public service promotion, environmental engagement and Covid crisis communication through social media","title-short":"Audit institutions in the European Union","volume":"12","author":[{"family":"Hancu-Budui","given":"Andreea"},{"family":"Zorio-Grima","given":"Ana"},{"family":"Blanco-Vega","given":"Jose"}],"issued":{"date-parts":[["2020"]]},"citation-key":"hancu-buduiAuditInstitutionsEuropean2020"}}],"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Hancu-Budui et al. </w:t>
      </w:r>
      <w:r>
        <w:rPr>
          <w:rFonts w:ascii="Times New Roman" w:hAnsi="Times New Roman" w:cs="Times New Roman"/>
          <w:sz w:val="24"/>
        </w:rPr>
        <w:t>(</w:t>
      </w:r>
      <w:r w:rsidRPr="00686F1D">
        <w:rPr>
          <w:rFonts w:ascii="Times New Roman" w:hAnsi="Times New Roman" w:cs="Times New Roman"/>
          <w:sz w:val="24"/>
        </w:rPr>
        <w:t>2020</w:t>
      </w:r>
      <w:r>
        <w:rPr>
          <w:rFonts w:ascii="Times New Roman" w:hAnsi="Times New Roman" w:cs="Times New Roman"/>
          <w:sz w:val="24"/>
          <w:szCs w:val="24"/>
        </w:rPr>
        <w:fldChar w:fldCharType="end"/>
      </w:r>
      <w:r>
        <w:rPr>
          <w:rFonts w:ascii="Times New Roman" w:hAnsi="Times New Roman" w:cs="Times New Roman"/>
          <w:sz w:val="24"/>
          <w:szCs w:val="24"/>
        </w:rPr>
        <w:t>)</w:t>
      </w:r>
      <w:r w:rsidRPr="00686F1D">
        <w:rPr>
          <w:rFonts w:ascii="Times New Roman" w:hAnsi="Times New Roman" w:cs="Times New Roman"/>
          <w:sz w:val="24"/>
          <w:szCs w:val="24"/>
        </w:rPr>
        <w:t xml:space="preserve"> examined the communication strategies employed by audit institutions in the European Union during the Covid-19 crisis. Their findings suggested that social media can serve as a potent tool for promoting public services and encouraging environmental engagement. The study advocates for public institutions to harness social media to showcase their activities and connect with citizens during times of crisis.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{"citationID":"HzxZMzup","properties":{"formattedCitation":"(Kanol &amp; Nat, 2021)","plainCitation":"(Kanol &amp; Nat, 2021)","noteIndex":0},"citationItems":[{"id":1687,"uris":["http://zotero.org/users/8951094/items/I72GEHKS"],"itemData":{"id":1687,"type":"article-journal","container-title":"Journal of Public and Nonprofit Affairs","issue":"2","page":"205–219","source":"Google Scholar","title":"Group type and social media engagement strategies in the EU: the case of British interest groups on Facebook","title-short":"Group type and social media engagement strategies in the EU","volume":"7","author":[{"family":"Kanol","given":"Direnç"},{"family":"Nat","given":"Muesser"}],"issued":{"date-parts":[["2021"]]},"citation-key":"kanolGroupTypeSocial2021"}}],"schema":"https://github.com/citation-style-language/schema/raw/master/csl-citation.json"}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Kanol &amp; Nat </w:t>
      </w:r>
      <w:r>
        <w:rPr>
          <w:rFonts w:ascii="Times New Roman" w:hAnsi="Times New Roman" w:cs="Times New Roman"/>
          <w:sz w:val="24"/>
        </w:rPr>
        <w:t>(</w:t>
      </w:r>
      <w:r w:rsidRPr="00686F1D">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w:t>
      </w:r>
      <w:r w:rsidRPr="00686F1D">
        <w:rPr>
          <w:rFonts w:ascii="Times New Roman" w:hAnsi="Times New Roman" w:cs="Times New Roman"/>
          <w:sz w:val="24"/>
          <w:szCs w:val="24"/>
        </w:rPr>
        <w:t xml:space="preserve"> scrutinized the social media engagement tactics of British interest groups on Facebook. They found that group type influences social media engagement strategies, with non-profit groups being more inclined to utilize user-generated content and participatory approaches. The study implies that public institutions can adopt lessons from non-profit groups and employ participatory strategies to elevate citizen engagement.</w:t>
      </w:r>
    </w:p>
    <w:p w14:paraId="79C8CE24" w14:textId="600A1617" w:rsidR="00CE7902"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 xml:space="preserve">Finally,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{"citationID":"G9hjoosi","properties":{"formattedCitation":"(Wei et al., 2021)","plainCitation":"(Wei et al., 2021)","noteIndex":0},"citationItems":[{"id":1705,"uris":["http://zotero.org/users/8951094/items/TMXPT332"],"itemData":{"id":1705,"type":"article-journal","container-title":"Energy Policy","note":"publisher: Elsevier","page":"112559","source":"Google Scholar","title":"Exploring public opinions on climate change policy in\" Big Data Era\"—A case study of the European Union Emission Trading System (EU-ETS) based on Twitter","volume":"158","author":[{"family":"Wei","given":"Yigang"},{"family":"Gong","given":"Ping"},{"family":"Zhang","given":"Jianhong"},{"family":"Wang","given":"Li"}],"issued":{"date-parts":[["2021"]]},"citation-key":"weiExploringPublicOpinions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Wei et al.</w:t>
      </w:r>
      <w:r>
        <w:rPr>
          <w:rFonts w:ascii="Times New Roman" w:hAnsi="Times New Roman" w:cs="Times New Roman"/>
          <w:sz w:val="24"/>
        </w:rPr>
        <w:t xml:space="preserve"> (</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executed a case study analyzing public opinions on climate change policy in the European Union using Twitter data. The study concluded that social media offers a platform for citizens to discuss climate change policies, suggesting that public institutions should leverage social media to engage with citizens on critical issues like climate change.</w:t>
      </w:r>
    </w:p>
    <w:p w14:paraId="0076B2F2" w14:textId="77777777" w:rsidR="00686F1D" w:rsidRDefault="00686F1D" w:rsidP="00686F1D">
      <w:pPr>
        <w:rPr>
          <w:rFonts w:ascii="Times New Roman" w:hAnsi="Times New Roman" w:cs="Times New Roman"/>
          <w:sz w:val="24"/>
          <w:szCs w:val="24"/>
        </w:rPr>
      </w:pPr>
    </w:p>
    <w:p w14:paraId="544AA929" w14:textId="2D6FE31D" w:rsidR="00B97DFF" w:rsidRPr="00B97DFF" w:rsidRDefault="00B97DFF" w:rsidP="00686F1D">
      <w:pPr>
        <w:rPr>
          <w:rFonts w:ascii="Times New Roman" w:hAnsi="Times New Roman" w:cs="Times New Roman"/>
          <w:b/>
          <w:bCs/>
          <w:sz w:val="24"/>
          <w:szCs w:val="24"/>
        </w:rPr>
      </w:pPr>
      <w:r w:rsidRPr="00B97DFF">
        <w:rPr>
          <w:rFonts w:ascii="Times New Roman" w:hAnsi="Times New Roman" w:cs="Times New Roman"/>
          <w:b/>
          <w:bCs/>
          <w:sz w:val="24"/>
          <w:szCs w:val="24"/>
        </w:rPr>
        <w:t>Case study</w:t>
      </w:r>
    </w:p>
    <w:p w14:paraId="233C6DC5" w14:textId="134CB569" w:rsidR="002277F5" w:rsidRPr="002277F5" w:rsidRDefault="002277F5" w:rsidP="00686F1D">
      <w:pPr>
        <w:rPr>
          <w:rFonts w:ascii="Times New Roman" w:hAnsi="Times New Roman" w:cs="Times New Roman"/>
          <w:b/>
          <w:bCs/>
          <w:sz w:val="24"/>
          <w:szCs w:val="24"/>
        </w:rPr>
      </w:pPr>
      <w:r>
        <w:rPr>
          <w:rFonts w:ascii="Times New Roman" w:hAnsi="Times New Roman" w:cs="Times New Roman"/>
          <w:b/>
          <w:bCs/>
          <w:sz w:val="24"/>
          <w:szCs w:val="24"/>
        </w:rPr>
        <w:t>Research objectives</w:t>
      </w:r>
    </w:p>
    <w:p w14:paraId="0B372182" w14:textId="453F2A09" w:rsidR="00686F1D" w:rsidRDefault="00B97DFF" w:rsidP="00686F1D">
      <w:pPr>
        <w:rPr>
          <w:rFonts w:ascii="Times New Roman" w:hAnsi="Times New Roman" w:cs="Times New Roman"/>
          <w:sz w:val="24"/>
          <w:szCs w:val="24"/>
        </w:rPr>
      </w:pPr>
      <w:r w:rsidRPr="00B97DFF">
        <w:rPr>
          <w:rFonts w:ascii="Times New Roman" w:hAnsi="Times New Roman" w:cs="Times New Roman"/>
          <w:sz w:val="24"/>
          <w:szCs w:val="24"/>
        </w:rPr>
        <w:t>The overall objective of this research is to analyze and compare the online engagement of the public on various official social media platforms (Facebook, Instagram, Twitter, and YouTube) of the European Commission.</w:t>
      </w:r>
    </w:p>
    <w:p w14:paraId="2EC2C03C" w14:textId="77777777" w:rsidR="00B97DFF" w:rsidRDefault="00B97DFF" w:rsidP="00686F1D">
      <w:pPr>
        <w:rPr>
          <w:rFonts w:ascii="Times New Roman" w:hAnsi="Times New Roman" w:cs="Times New Roman"/>
          <w:sz w:val="24"/>
          <w:szCs w:val="24"/>
        </w:rPr>
      </w:pPr>
    </w:p>
    <w:p w14:paraId="6CB8B021" w14:textId="3D6EA234" w:rsidR="00B97DFF" w:rsidRDefault="00B97DFF" w:rsidP="00686F1D">
      <w:pPr>
        <w:rPr>
          <w:rFonts w:ascii="Times New Roman" w:hAnsi="Times New Roman" w:cs="Times New Roman"/>
          <w:b/>
          <w:bCs/>
          <w:sz w:val="24"/>
          <w:szCs w:val="24"/>
        </w:rPr>
      </w:pPr>
      <w:r>
        <w:rPr>
          <w:rFonts w:ascii="Times New Roman" w:hAnsi="Times New Roman" w:cs="Times New Roman"/>
          <w:b/>
          <w:bCs/>
          <w:sz w:val="24"/>
          <w:szCs w:val="24"/>
        </w:rPr>
        <w:t>Research tool</w:t>
      </w:r>
    </w:p>
    <w:p w14:paraId="285C3142" w14:textId="77777777"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 xml:space="preserve">The research instrument used in this study involved the extraction and analysis of data from the official Facebook, Twitter, Instagram, and </w:t>
      </w:r>
      <w:proofErr w:type="spellStart"/>
      <w:r w:rsidRPr="00B97DFF">
        <w:rPr>
          <w:rFonts w:ascii="Times New Roman" w:hAnsi="Times New Roman" w:cs="Times New Roman"/>
          <w:sz w:val="24"/>
          <w:szCs w:val="24"/>
        </w:rPr>
        <w:t>Youtube</w:t>
      </w:r>
      <w:proofErr w:type="spellEnd"/>
      <w:r w:rsidRPr="00B97DFF">
        <w:rPr>
          <w:rFonts w:ascii="Times New Roman" w:hAnsi="Times New Roman" w:cs="Times New Roman"/>
          <w:sz w:val="24"/>
          <w:szCs w:val="24"/>
        </w:rPr>
        <w:t xml:space="preserve"> pages of the European Commission. To collect this data, the </w:t>
      </w:r>
      <w:proofErr w:type="spellStart"/>
      <w:r w:rsidRPr="00B97DFF">
        <w:rPr>
          <w:rFonts w:ascii="Times New Roman" w:hAnsi="Times New Roman" w:cs="Times New Roman"/>
          <w:sz w:val="24"/>
          <w:szCs w:val="24"/>
        </w:rPr>
        <w:t>Fanpagekarma</w:t>
      </w:r>
      <w:proofErr w:type="spellEnd"/>
      <w:r w:rsidRPr="00B97DFF">
        <w:rPr>
          <w:rFonts w:ascii="Times New Roman" w:hAnsi="Times New Roman" w:cs="Times New Roman"/>
          <w:sz w:val="24"/>
          <w:szCs w:val="24"/>
        </w:rPr>
        <w:t xml:space="preserve"> platform was used, which is a popular tool for social media analytics and monitoring.</w:t>
      </w:r>
    </w:p>
    <w:p w14:paraId="20DE732E" w14:textId="30CFE05F"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 xml:space="preserve">The data extracted from the platform included the post ID, message content, post type, </w:t>
      </w:r>
      <w:proofErr w:type="spellStart"/>
      <w:r w:rsidRPr="00B97DFF">
        <w:rPr>
          <w:rFonts w:ascii="Times New Roman" w:hAnsi="Times New Roman" w:cs="Times New Roman"/>
          <w:sz w:val="24"/>
          <w:szCs w:val="24"/>
        </w:rPr>
        <w:t>post date</w:t>
      </w:r>
      <w:proofErr w:type="spellEnd"/>
      <w:r w:rsidRPr="00B97DFF">
        <w:rPr>
          <w:rFonts w:ascii="Times New Roman" w:hAnsi="Times New Roman" w:cs="Times New Roman"/>
          <w:sz w:val="24"/>
          <w:szCs w:val="24"/>
        </w:rPr>
        <w:t xml:space="preserve">, number of likes, comments, shares, and rounded number of followers for each post made by the European Commission between 24 March 2023 and 20 April 2023. </w:t>
      </w:r>
    </w:p>
    <w:p w14:paraId="31DE3443" w14:textId="77777777"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To calculate the engagement rate, the total number of reactions (likes, comments, and shares) was divided by the number of followers. This metric is often used to measure the level of audience interaction with a brand or organization on social media.</w:t>
      </w:r>
    </w:p>
    <w:p w14:paraId="45E2A6DC" w14:textId="5FCF7A7A" w:rsid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The data collected from this research instrument was analyzed using various statistical techniques, including descriptive statistics and</w:t>
      </w:r>
      <w:r w:rsidRPr="00050E38">
        <w:rPr>
          <w:rFonts w:ascii="Times New Roman" w:hAnsi="Times New Roman" w:cs="Times New Roman"/>
          <w:color w:val="FF0000"/>
          <w:sz w:val="24"/>
          <w:szCs w:val="24"/>
        </w:rPr>
        <w:t xml:space="preserve"> </w:t>
      </w:r>
      <w:r w:rsidR="002277F5" w:rsidRPr="00050E38">
        <w:rPr>
          <w:rFonts w:ascii="Times New Roman" w:hAnsi="Times New Roman" w:cs="Times New Roman"/>
          <w:color w:val="FF0000"/>
          <w:sz w:val="24"/>
          <w:szCs w:val="24"/>
        </w:rPr>
        <w:t>……</w:t>
      </w:r>
      <w:r w:rsidRPr="00B97DFF">
        <w:rPr>
          <w:rFonts w:ascii="Times New Roman" w:hAnsi="Times New Roman" w:cs="Times New Roman"/>
          <w:sz w:val="24"/>
          <w:szCs w:val="24"/>
        </w:rPr>
        <w:t>. Descriptive statistics were used to summarize the data and identify trends and patterns in the engagement rates, likes, comments, and shares for each post type and platform.</w:t>
      </w:r>
    </w:p>
    <w:p w14:paraId="01BF8A93" w14:textId="77777777" w:rsidR="002277F5" w:rsidRDefault="002277F5" w:rsidP="00B97DFF">
      <w:pPr>
        <w:rPr>
          <w:rFonts w:ascii="Times New Roman" w:hAnsi="Times New Roman" w:cs="Times New Roman"/>
          <w:sz w:val="24"/>
          <w:szCs w:val="24"/>
        </w:rPr>
      </w:pPr>
    </w:p>
    <w:p w14:paraId="5C79C33C" w14:textId="77777777" w:rsidR="002277F5" w:rsidRDefault="002277F5" w:rsidP="00B97DFF">
      <w:pPr>
        <w:rPr>
          <w:rFonts w:ascii="Times New Roman" w:hAnsi="Times New Roman" w:cs="Times New Roman"/>
          <w:sz w:val="24"/>
          <w:szCs w:val="24"/>
        </w:rPr>
      </w:pPr>
    </w:p>
    <w:tbl>
      <w:tblPr>
        <w:tblW w:w="9418" w:type="dxa"/>
        <w:tblCellMar>
          <w:top w:w="15" w:type="dxa"/>
          <w:left w:w="15" w:type="dxa"/>
          <w:bottom w:w="15" w:type="dxa"/>
          <w:right w:w="15" w:type="dxa"/>
        </w:tblCellMar>
        <w:tblLook w:val="04A0" w:firstRow="1" w:lastRow="0" w:firstColumn="1" w:lastColumn="0" w:noHBand="0" w:noVBand="1"/>
      </w:tblPr>
      <w:tblGrid>
        <w:gridCol w:w="492"/>
        <w:gridCol w:w="52"/>
        <w:gridCol w:w="1446"/>
        <w:gridCol w:w="53"/>
        <w:gridCol w:w="754"/>
        <w:gridCol w:w="70"/>
        <w:gridCol w:w="1131"/>
        <w:gridCol w:w="63"/>
        <w:gridCol w:w="950"/>
        <w:gridCol w:w="53"/>
        <w:gridCol w:w="950"/>
        <w:gridCol w:w="53"/>
        <w:gridCol w:w="1694"/>
        <w:gridCol w:w="53"/>
        <w:gridCol w:w="1519"/>
        <w:gridCol w:w="85"/>
      </w:tblGrid>
      <w:tr w:rsidR="009A5E39" w:rsidRPr="009A5E39" w14:paraId="40365858" w14:textId="77777777" w:rsidTr="009A5E39">
        <w:trPr>
          <w:trHeight w:val="296"/>
          <w:tblHeader/>
        </w:trPr>
        <w:tc>
          <w:tcPr>
            <w:tcW w:w="0" w:type="auto"/>
            <w:gridSpan w:val="16"/>
            <w:tcBorders>
              <w:top w:val="nil"/>
              <w:left w:val="nil"/>
              <w:bottom w:val="single" w:sz="6" w:space="0" w:color="000000"/>
              <w:right w:val="nil"/>
            </w:tcBorders>
            <w:vAlign w:val="center"/>
            <w:hideMark/>
          </w:tcPr>
          <w:p w14:paraId="5464F5CB" w14:textId="0EA6460A" w:rsidR="009A5E39" w:rsidRPr="009A5E39" w:rsidRDefault="00180CE5" w:rsidP="009A5E39">
            <w:pPr>
              <w:ind w:firstLine="0"/>
              <w:jc w:val="left"/>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lastRenderedPageBreak/>
              <w:t>Paginile</w:t>
            </w:r>
            <w:proofErr w:type="spellEnd"/>
            <w:r>
              <w:rPr>
                <w:rFonts w:ascii="Times New Roman" w:eastAsia="Times New Roman" w:hAnsi="Times New Roman" w:cs="Times New Roman"/>
                <w:b/>
                <w:bCs/>
                <w:kern w:val="0"/>
                <w:sz w:val="24"/>
                <w:szCs w:val="24"/>
                <w14:ligatures w14:val="none"/>
              </w:rPr>
              <w:t xml:space="preserve"> social media ale </w:t>
            </w:r>
            <w:proofErr w:type="spellStart"/>
            <w:r>
              <w:rPr>
                <w:rFonts w:ascii="Times New Roman" w:eastAsia="Times New Roman" w:hAnsi="Times New Roman" w:cs="Times New Roman"/>
                <w:b/>
                <w:bCs/>
                <w:kern w:val="0"/>
                <w:sz w:val="24"/>
                <w:szCs w:val="24"/>
                <w14:ligatures w14:val="none"/>
              </w:rPr>
              <w:t>Comisiei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Europene</w:t>
            </w:r>
            <w:proofErr w:type="spellEnd"/>
            <w:r w:rsidR="009A5E39" w:rsidRPr="009A5E39">
              <w:rPr>
                <w:rFonts w:ascii="Times New Roman" w:eastAsia="Times New Roman" w:hAnsi="Times New Roman" w:cs="Times New Roman"/>
                <w:b/>
                <w:bCs/>
                <w:kern w:val="0"/>
                <w:sz w:val="24"/>
                <w:szCs w:val="24"/>
                <w14:ligatures w14:val="none"/>
              </w:rPr>
              <w:t xml:space="preserve"> </w:t>
            </w:r>
          </w:p>
        </w:tc>
      </w:tr>
      <w:tr w:rsidR="00180CE5" w:rsidRPr="009A5E39" w14:paraId="4040605B" w14:textId="77777777" w:rsidTr="009A5E39">
        <w:trPr>
          <w:trHeight w:val="313"/>
          <w:tblHeader/>
        </w:trPr>
        <w:tc>
          <w:tcPr>
            <w:tcW w:w="0" w:type="auto"/>
            <w:gridSpan w:val="2"/>
            <w:tcBorders>
              <w:top w:val="nil"/>
              <w:left w:val="nil"/>
              <w:bottom w:val="single" w:sz="6" w:space="0" w:color="000000"/>
              <w:right w:val="nil"/>
            </w:tcBorders>
            <w:vAlign w:val="center"/>
            <w:hideMark/>
          </w:tcPr>
          <w:p w14:paraId="7FE7FB83"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01A8BEBD"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41AA0CBC" w14:textId="0ED5BA9D" w:rsidR="009A5E39" w:rsidRPr="009A5E39" w:rsidRDefault="00A93E55" w:rsidP="009A5E39">
            <w:pPr>
              <w:ind w:firstLine="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Posts</w:t>
            </w:r>
          </w:p>
        </w:tc>
        <w:tc>
          <w:tcPr>
            <w:tcW w:w="0" w:type="auto"/>
            <w:gridSpan w:val="2"/>
            <w:tcBorders>
              <w:top w:val="nil"/>
              <w:left w:val="nil"/>
              <w:bottom w:val="single" w:sz="6" w:space="0" w:color="000000"/>
              <w:right w:val="nil"/>
            </w:tcBorders>
            <w:vAlign w:val="center"/>
            <w:hideMark/>
          </w:tcPr>
          <w:p w14:paraId="33B76B5B"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Median</w:t>
            </w:r>
          </w:p>
        </w:tc>
        <w:tc>
          <w:tcPr>
            <w:tcW w:w="0" w:type="auto"/>
            <w:gridSpan w:val="2"/>
            <w:tcBorders>
              <w:top w:val="nil"/>
              <w:left w:val="nil"/>
              <w:bottom w:val="single" w:sz="6" w:space="0" w:color="000000"/>
              <w:right w:val="nil"/>
            </w:tcBorders>
            <w:vAlign w:val="center"/>
            <w:hideMark/>
          </w:tcPr>
          <w:p w14:paraId="1E9E45F2"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Mean</w:t>
            </w:r>
          </w:p>
        </w:tc>
        <w:tc>
          <w:tcPr>
            <w:tcW w:w="0" w:type="auto"/>
            <w:gridSpan w:val="2"/>
            <w:tcBorders>
              <w:top w:val="nil"/>
              <w:left w:val="nil"/>
              <w:bottom w:val="single" w:sz="6" w:space="0" w:color="000000"/>
              <w:right w:val="nil"/>
            </w:tcBorders>
            <w:vAlign w:val="center"/>
            <w:hideMark/>
          </w:tcPr>
          <w:p w14:paraId="38EE1E1F"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IQR</w:t>
            </w:r>
          </w:p>
        </w:tc>
        <w:tc>
          <w:tcPr>
            <w:tcW w:w="0" w:type="auto"/>
            <w:gridSpan w:val="2"/>
            <w:tcBorders>
              <w:top w:val="nil"/>
              <w:left w:val="nil"/>
              <w:bottom w:val="single" w:sz="6" w:space="0" w:color="000000"/>
              <w:right w:val="nil"/>
            </w:tcBorders>
            <w:vAlign w:val="center"/>
            <w:hideMark/>
          </w:tcPr>
          <w:p w14:paraId="2206507F"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Minimum</w:t>
            </w:r>
          </w:p>
        </w:tc>
        <w:tc>
          <w:tcPr>
            <w:tcW w:w="0" w:type="auto"/>
            <w:gridSpan w:val="2"/>
            <w:tcBorders>
              <w:top w:val="nil"/>
              <w:left w:val="nil"/>
              <w:bottom w:val="single" w:sz="6" w:space="0" w:color="000000"/>
              <w:right w:val="nil"/>
            </w:tcBorders>
            <w:vAlign w:val="center"/>
            <w:hideMark/>
          </w:tcPr>
          <w:p w14:paraId="674AEBAE"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Maximum</w:t>
            </w:r>
          </w:p>
        </w:tc>
      </w:tr>
      <w:tr w:rsidR="00A93E55" w:rsidRPr="009A5E39" w14:paraId="1BF58EBF" w14:textId="77777777" w:rsidTr="009A5E39">
        <w:trPr>
          <w:trHeight w:val="296"/>
        </w:trPr>
        <w:tc>
          <w:tcPr>
            <w:tcW w:w="0" w:type="auto"/>
            <w:tcBorders>
              <w:top w:val="nil"/>
              <w:left w:val="nil"/>
              <w:bottom w:val="nil"/>
              <w:right w:val="nil"/>
            </w:tcBorders>
            <w:vAlign w:val="center"/>
            <w:hideMark/>
          </w:tcPr>
          <w:p w14:paraId="00BD5D5A"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7BB2F472"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B58C6C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Facebook</w:t>
            </w:r>
          </w:p>
        </w:tc>
        <w:tc>
          <w:tcPr>
            <w:tcW w:w="0" w:type="auto"/>
            <w:tcBorders>
              <w:top w:val="nil"/>
              <w:left w:val="nil"/>
              <w:bottom w:val="nil"/>
              <w:right w:val="nil"/>
            </w:tcBorders>
            <w:vAlign w:val="center"/>
            <w:hideMark/>
          </w:tcPr>
          <w:p w14:paraId="37CFA8EC"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49048A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54</w:t>
            </w:r>
          </w:p>
        </w:tc>
        <w:tc>
          <w:tcPr>
            <w:tcW w:w="0" w:type="auto"/>
            <w:tcBorders>
              <w:top w:val="nil"/>
              <w:left w:val="nil"/>
              <w:bottom w:val="nil"/>
              <w:right w:val="nil"/>
            </w:tcBorders>
            <w:vAlign w:val="center"/>
            <w:hideMark/>
          </w:tcPr>
          <w:p w14:paraId="1E3F8C6E"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6FB0B11" w14:textId="376F170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0.10</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7E43A01"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992265C" w14:textId="58977983"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0.15</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6D663C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9BE804A" w14:textId="7252EC0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0.13</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C4C7D28"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D6A656A" w14:textId="7235C37F"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C14CF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3B2F8E0" w14:textId="2CC4625D"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0.66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4026BF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3A9D0C6C" w14:textId="77777777" w:rsidTr="009A5E39">
        <w:trPr>
          <w:trHeight w:val="313"/>
        </w:trPr>
        <w:tc>
          <w:tcPr>
            <w:tcW w:w="0" w:type="auto"/>
            <w:tcBorders>
              <w:top w:val="nil"/>
              <w:left w:val="nil"/>
              <w:bottom w:val="nil"/>
              <w:right w:val="nil"/>
            </w:tcBorders>
            <w:vAlign w:val="center"/>
            <w:hideMark/>
          </w:tcPr>
          <w:p w14:paraId="3671F3F4"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4CA8A4D1"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CC7C335"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Instagram</w:t>
            </w:r>
          </w:p>
        </w:tc>
        <w:tc>
          <w:tcPr>
            <w:tcW w:w="0" w:type="auto"/>
            <w:tcBorders>
              <w:top w:val="nil"/>
              <w:left w:val="nil"/>
              <w:bottom w:val="nil"/>
              <w:right w:val="nil"/>
            </w:tcBorders>
            <w:vAlign w:val="center"/>
            <w:hideMark/>
          </w:tcPr>
          <w:p w14:paraId="1698CDEE"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F20D8B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51</w:t>
            </w:r>
          </w:p>
        </w:tc>
        <w:tc>
          <w:tcPr>
            <w:tcW w:w="0" w:type="auto"/>
            <w:tcBorders>
              <w:top w:val="nil"/>
              <w:left w:val="nil"/>
              <w:bottom w:val="nil"/>
              <w:right w:val="nil"/>
            </w:tcBorders>
            <w:vAlign w:val="center"/>
            <w:hideMark/>
          </w:tcPr>
          <w:p w14:paraId="2A2783C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8F66CD6" w14:textId="3BD2634C"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0.32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0BA32E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3F5D45" w14:textId="461D8C0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0.49</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3EA175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68EB821" w14:textId="3F386A4D"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0.36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C3A9B0F"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F5B7CD2" w14:textId="1399E230"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0.08</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3D04D33"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92E46E3" w14:textId="04FE6786"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2.58</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F62567F"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5F97FD71" w14:textId="77777777" w:rsidTr="009A5E39">
        <w:trPr>
          <w:trHeight w:val="296"/>
        </w:trPr>
        <w:tc>
          <w:tcPr>
            <w:tcW w:w="0" w:type="auto"/>
            <w:tcBorders>
              <w:top w:val="nil"/>
              <w:left w:val="nil"/>
              <w:bottom w:val="nil"/>
              <w:right w:val="nil"/>
            </w:tcBorders>
            <w:vAlign w:val="center"/>
            <w:hideMark/>
          </w:tcPr>
          <w:p w14:paraId="35F24D3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2B8A44B4"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7A668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Twitter</w:t>
            </w:r>
          </w:p>
        </w:tc>
        <w:tc>
          <w:tcPr>
            <w:tcW w:w="0" w:type="auto"/>
            <w:tcBorders>
              <w:top w:val="nil"/>
              <w:left w:val="nil"/>
              <w:bottom w:val="nil"/>
              <w:right w:val="nil"/>
            </w:tcBorders>
            <w:vAlign w:val="center"/>
            <w:hideMark/>
          </w:tcPr>
          <w:p w14:paraId="5CBD6C7D"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9F7F10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194</w:t>
            </w:r>
          </w:p>
        </w:tc>
        <w:tc>
          <w:tcPr>
            <w:tcW w:w="0" w:type="auto"/>
            <w:tcBorders>
              <w:top w:val="nil"/>
              <w:left w:val="nil"/>
              <w:bottom w:val="nil"/>
              <w:right w:val="nil"/>
            </w:tcBorders>
            <w:vAlign w:val="center"/>
            <w:hideMark/>
          </w:tcPr>
          <w:p w14:paraId="67E61F1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24379C5" w14:textId="11381D99"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0.01</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1A327D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B3B9868" w14:textId="7690CE0A"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0.03</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5852949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31B3148" w14:textId="5291D22A"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53E7B7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9142646" w14:textId="1187197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0.00</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0D50B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ADECECE" w14:textId="2ED63C13"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0.54</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0B0898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36421A63" w14:textId="77777777" w:rsidTr="009A5E39">
        <w:trPr>
          <w:trHeight w:val="296"/>
        </w:trPr>
        <w:tc>
          <w:tcPr>
            <w:tcW w:w="0" w:type="auto"/>
            <w:tcBorders>
              <w:top w:val="nil"/>
              <w:left w:val="nil"/>
              <w:bottom w:val="nil"/>
              <w:right w:val="nil"/>
            </w:tcBorders>
            <w:vAlign w:val="center"/>
            <w:hideMark/>
          </w:tcPr>
          <w:p w14:paraId="64E2C140"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6A1C8EFC"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4A65879"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roofErr w:type="spellStart"/>
            <w:r w:rsidRPr="009A5E39">
              <w:rPr>
                <w:rFonts w:ascii="Times New Roman" w:eastAsia="Times New Roman" w:hAnsi="Times New Roman" w:cs="Times New Roman"/>
                <w:kern w:val="0"/>
                <w:sz w:val="24"/>
                <w:szCs w:val="24"/>
                <w14:ligatures w14:val="none"/>
              </w:rPr>
              <w:t>Youtube</w:t>
            </w:r>
            <w:proofErr w:type="spellEnd"/>
          </w:p>
        </w:tc>
        <w:tc>
          <w:tcPr>
            <w:tcW w:w="0" w:type="auto"/>
            <w:tcBorders>
              <w:top w:val="nil"/>
              <w:left w:val="nil"/>
              <w:bottom w:val="nil"/>
              <w:right w:val="nil"/>
            </w:tcBorders>
            <w:vAlign w:val="center"/>
            <w:hideMark/>
          </w:tcPr>
          <w:p w14:paraId="5C9D0E9E"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046BC7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36</w:t>
            </w:r>
          </w:p>
        </w:tc>
        <w:tc>
          <w:tcPr>
            <w:tcW w:w="0" w:type="auto"/>
            <w:tcBorders>
              <w:top w:val="nil"/>
              <w:left w:val="nil"/>
              <w:bottom w:val="nil"/>
              <w:right w:val="nil"/>
            </w:tcBorders>
            <w:vAlign w:val="center"/>
            <w:hideMark/>
          </w:tcPr>
          <w:p w14:paraId="04B9A8E8"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191872C" w14:textId="30D438E5"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0.01</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26FB9A59"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D5D095F" w14:textId="2C3D4102"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0.07</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3D4E77"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BF7F39C" w14:textId="44F3A87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22499359"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BA6718E" w14:textId="06E7BAE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4.03×10</w:t>
            </w:r>
            <w:r w:rsidRPr="009A5E39">
              <w:rPr>
                <w:rFonts w:ascii="Times New Roman" w:eastAsia="Times New Roman" w:hAnsi="Times New Roman" w:cs="Times New Roman"/>
                <w:kern w:val="0"/>
                <w:sz w:val="24"/>
                <w:szCs w:val="24"/>
                <w:vertAlign w:val="superscript"/>
                <w14:ligatures w14:val="none"/>
              </w:rPr>
              <w:t>-3</w:t>
            </w:r>
            <w:r w:rsidR="00180CE5" w:rsidRPr="00180CE5">
              <w:rPr>
                <w:rFonts w:ascii="Times New Roman" w:eastAsia="Times New Roman" w:hAnsi="Times New Roman" w:cs="Times New Roman"/>
                <w:kern w:val="0"/>
                <w:sz w:val="24"/>
                <w:szCs w:val="24"/>
                <w14:ligatures w14:val="none"/>
              </w:rPr>
              <w:t>%</w:t>
            </w:r>
            <w:r w:rsidRPr="009A5E39">
              <w:rPr>
                <w:rFonts w:ascii="Times New Roman" w:eastAsia="Times New Roman" w:hAnsi="Times New Roman" w:cs="Times New Roman"/>
                <w:kern w:val="0"/>
                <w:sz w:val="24"/>
                <w:szCs w:val="24"/>
                <w14:ligatures w14:val="none"/>
              </w:rPr>
              <w:t xml:space="preserve"> </w:t>
            </w:r>
          </w:p>
        </w:tc>
        <w:tc>
          <w:tcPr>
            <w:tcW w:w="0" w:type="auto"/>
            <w:tcBorders>
              <w:top w:val="nil"/>
              <w:left w:val="nil"/>
              <w:bottom w:val="nil"/>
              <w:right w:val="nil"/>
            </w:tcBorders>
            <w:vAlign w:val="center"/>
            <w:hideMark/>
          </w:tcPr>
          <w:p w14:paraId="3B5F459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0FD154F" w14:textId="6BCB67D0"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1.16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82749A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9A5E39" w:rsidRPr="009A5E39" w14:paraId="5916BE01" w14:textId="77777777" w:rsidTr="009A5E39">
        <w:trPr>
          <w:trHeight w:val="263"/>
        </w:trPr>
        <w:tc>
          <w:tcPr>
            <w:tcW w:w="0" w:type="auto"/>
            <w:gridSpan w:val="16"/>
            <w:tcBorders>
              <w:top w:val="nil"/>
              <w:left w:val="nil"/>
              <w:bottom w:val="single" w:sz="12" w:space="0" w:color="000000"/>
              <w:right w:val="nil"/>
            </w:tcBorders>
            <w:vAlign w:val="center"/>
            <w:hideMark/>
          </w:tcPr>
          <w:p w14:paraId="20FB05B5" w14:textId="77777777" w:rsidR="009A5E39" w:rsidRPr="009A5E39" w:rsidRDefault="009A5E39" w:rsidP="009A5E39">
            <w:pPr>
              <w:ind w:firstLine="0"/>
              <w:jc w:val="left"/>
              <w:rPr>
                <w:rFonts w:ascii="Times New Roman" w:eastAsia="Times New Roman" w:hAnsi="Times New Roman" w:cs="Times New Roman"/>
                <w:kern w:val="0"/>
                <w:sz w:val="20"/>
                <w:szCs w:val="20"/>
                <w14:ligatures w14:val="none"/>
              </w:rPr>
            </w:pPr>
          </w:p>
        </w:tc>
      </w:tr>
    </w:tbl>
    <w:p w14:paraId="28860B74" w14:textId="77777777" w:rsidR="00A93E55" w:rsidRDefault="00A93E55" w:rsidP="00A93E55">
      <w:pPr>
        <w:ind w:firstLine="0"/>
        <w:rPr>
          <w:rFonts w:ascii="Times New Roman" w:eastAsia="Times New Roman" w:hAnsi="Times New Roman" w:cs="Times New Roman"/>
          <w:kern w:val="0"/>
          <w:sz w:val="24"/>
          <w:szCs w:val="24"/>
          <w14:ligatures w14:val="none"/>
        </w:rPr>
      </w:pPr>
    </w:p>
    <w:p w14:paraId="1E7D276B"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In this analysis, we will examine the social media performance of the European Commission's Facebook, Instagram, Twitter, and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accounts during the period from 24 March 2023 to 20 April 2023. We will focus on the engagement rate (ER) of each platform, which measures the percentage of followers who engage with a post by liking, commenting, sharing, or otherwise interacting with it.</w:t>
      </w:r>
    </w:p>
    <w:p w14:paraId="425DF5CF"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29ABDA0C" w14:textId="038D47DD"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Facebook</w:t>
      </w:r>
    </w:p>
    <w:p w14:paraId="55A3BF79"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During the monitoring period, the European Commission posted 54 times on Facebook, with a median engagement rate of 0.10%, a mean engagement rate of 0.15%, and an interquartile range (IQR) of 0.13%. The minimum engagement rate was 0.02%, and the maximum engagement rate was 0.66%.</w:t>
      </w:r>
    </w:p>
    <w:p w14:paraId="30C6EF58"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low median and mean engagement rates suggest that the Commission's Facebook content did not generate a high level of engagement from its followers. However, the IQR of 0.13% indicates that there was some variability in engagement rates among the Commission's posts, with some posts performing better than others. The maximum engagement rate of 0.66% suggests that the Commission's most successful Facebook posts were able to generate a relatively high level of engagement from its followers.</w:t>
      </w:r>
    </w:p>
    <w:p w14:paraId="5AD8CDBF"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4A59FCDE" w14:textId="5E0AA30E"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Instagram</w:t>
      </w:r>
    </w:p>
    <w:p w14:paraId="249D4AE4"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European Commission posted 51 times on Instagram during the monitoring period, with a median engagement rate of 0.32%, a mean engagement rate of 0.49%, and an IQR of 0.36%. The minimum engagement rate was 0.08%, and the maximum engagement rate was 2.58%.</w:t>
      </w:r>
    </w:p>
    <w:p w14:paraId="05B2BC52"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higher median and mean engagement rates on Instagram compared to Facebook indicate that the Commission's Instagram content was more successful in generating engagement from its followers. The IQR of 0.36% suggests that there was some variability in engagement rates among the Commission's Instagram posts, but overall, the Commission was able to consistently generate a relatively high level of engagement on this platform. The maximum engagement rate of 2.58% is particularly noteworthy, as it suggests that the Commission's most successful Instagram posts were able to generate a very high level of engagement from its followers.</w:t>
      </w:r>
    </w:p>
    <w:p w14:paraId="34EF534E"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5C5BB60B" w14:textId="591E2BA6"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Twitter</w:t>
      </w:r>
    </w:p>
    <w:p w14:paraId="1D14C51A"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European Commission posted 194 times on Twitter during the monitoring period, with a median engagement rate of 0.01%, a mean engagement rate of 0.03%, and an IQR of 0.02%. The minimum engagement rate was 0.00%, and the maximum engagement rate was 0.54%.</w:t>
      </w:r>
    </w:p>
    <w:p w14:paraId="40DA36A9"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0E6FBE6D"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low median and mean engagement rates on Twitter indicate that the Commission's Twitter content did not generate a high level of engagement from its followers. However, the IQR of 0.02% suggests that there was some variability in engagement rates among the Commission's Twitter posts, with some posts performing better than others. The maximum engagement rate of 0.54% suggests that the Commission's most successful Twitter posts were able to generate a relatively high level of engagement from its followers, but overall, Twitter appears to be the platform where the Commission struggled the most to generate engagement.</w:t>
      </w:r>
    </w:p>
    <w:p w14:paraId="6FE90495"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5961AFAE" w14:textId="757D57CB" w:rsidR="00A93E55" w:rsidRPr="00A93E55" w:rsidRDefault="00A93E55" w:rsidP="00A93E55">
      <w:pPr>
        <w:ind w:firstLine="720"/>
        <w:rPr>
          <w:rFonts w:ascii="Times New Roman" w:eastAsia="Times New Roman" w:hAnsi="Times New Roman" w:cs="Times New Roman"/>
          <w:i/>
          <w:iCs/>
          <w:kern w:val="0"/>
          <w:sz w:val="24"/>
          <w:szCs w:val="24"/>
          <w14:ligatures w14:val="none"/>
        </w:rPr>
      </w:pPr>
      <w:proofErr w:type="spellStart"/>
      <w:r w:rsidRPr="00A93E55">
        <w:rPr>
          <w:rFonts w:ascii="Times New Roman" w:eastAsia="Times New Roman" w:hAnsi="Times New Roman" w:cs="Times New Roman"/>
          <w:i/>
          <w:iCs/>
          <w:kern w:val="0"/>
          <w:sz w:val="24"/>
          <w:szCs w:val="24"/>
          <w14:ligatures w14:val="none"/>
        </w:rPr>
        <w:t>Youtube</w:t>
      </w:r>
      <w:proofErr w:type="spellEnd"/>
    </w:p>
    <w:p w14:paraId="1C744254"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The European Commission posted 36 videos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during the monitoring period, with a median engagement rate of 0.01%, a mean engagement rate of 0.07%, and an IQR of 0.02%. The minimum engagement rate was 4.03×10-3%, and the maximum engagement rate was 1.16%.</w:t>
      </w:r>
    </w:p>
    <w:p w14:paraId="32A19162" w14:textId="1AB769E5"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The low median and mean engagement rates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indicate</w:t>
      </w:r>
      <w:r>
        <w:rPr>
          <w:rFonts w:ascii="Times New Roman" w:eastAsia="Times New Roman" w:hAnsi="Times New Roman" w:cs="Times New Roman"/>
          <w:kern w:val="0"/>
          <w:sz w:val="24"/>
          <w:szCs w:val="24"/>
          <w14:ligatures w14:val="none"/>
        </w:rPr>
        <w:t xml:space="preserve"> </w:t>
      </w:r>
      <w:r w:rsidRPr="00A93E55">
        <w:rPr>
          <w:rFonts w:ascii="Times New Roman" w:eastAsia="Times New Roman" w:hAnsi="Times New Roman" w:cs="Times New Roman"/>
          <w:kern w:val="0"/>
          <w:sz w:val="24"/>
          <w:szCs w:val="24"/>
          <w14:ligatures w14:val="none"/>
        </w:rPr>
        <w:t xml:space="preserve">that the Commission's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content did not generate a high level of engagement from its followers during the monitoring period. However, the IQR of 0.02% suggests that there was some variability in engagement rates among the Commission's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videos, with some videos performing better than others. The maximum engagement rate of 1.16% suggests that the Commission's most successful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videos were able to generate a relatively high level of engagement from its followers.</w:t>
      </w:r>
    </w:p>
    <w:p w14:paraId="7B5322BB"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3F6860BC"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Overall, the data suggests that the European Commission was most successful in generating engagement on Instagram, followed by Facebook,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and Twitter. The Commission's Instagram content consistently generated higher engagement rates than its content on the other platforms, with a median engagement rate of 0.32% and a mean engagement rate of 0.49%. On Facebook, the Commission's median engagement rate was 0.10% and its mean engagement rate was 0.15%.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the Commission's median engagement rate was 0.01% and its mean engagement rate was 0.07%. On Twitter, the Commission's median engagement rate was 0.01% and its mean engagement rate was 0.03%.</w:t>
      </w:r>
    </w:p>
    <w:p w14:paraId="09150E5B" w14:textId="7195781B"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It is worth noting that the Commission's most successful posts on each platform were able to generate relatively high levels of engagement, with maximum engagement rates ranging from 0.66% on Facebook to 2.58% on Instagram. This suggests that the Commission </w:t>
      </w:r>
      <w:r w:rsidRPr="00A93E55">
        <w:rPr>
          <w:rFonts w:ascii="Times New Roman" w:eastAsia="Times New Roman" w:hAnsi="Times New Roman" w:cs="Times New Roman"/>
          <w:kern w:val="0"/>
          <w:sz w:val="24"/>
          <w:szCs w:val="24"/>
          <w14:ligatures w14:val="none"/>
        </w:rPr>
        <w:t>can create</w:t>
      </w:r>
      <w:r w:rsidRPr="00A93E55">
        <w:rPr>
          <w:rFonts w:ascii="Times New Roman" w:eastAsia="Times New Roman" w:hAnsi="Times New Roman" w:cs="Times New Roman"/>
          <w:kern w:val="0"/>
          <w:sz w:val="24"/>
          <w:szCs w:val="24"/>
          <w14:ligatures w14:val="none"/>
        </w:rPr>
        <w:t xml:space="preserve"> content that resonates with its followers and generates high levels of engagement, but that it may need to work on consistently producing such content across </w:t>
      </w:r>
      <w:proofErr w:type="gramStart"/>
      <w:r w:rsidRPr="00A93E55">
        <w:rPr>
          <w:rFonts w:ascii="Times New Roman" w:eastAsia="Times New Roman" w:hAnsi="Times New Roman" w:cs="Times New Roman"/>
          <w:kern w:val="0"/>
          <w:sz w:val="24"/>
          <w:szCs w:val="24"/>
          <w14:ligatures w14:val="none"/>
        </w:rPr>
        <w:t>all of</w:t>
      </w:r>
      <w:proofErr w:type="gramEnd"/>
      <w:r w:rsidRPr="00A93E55">
        <w:rPr>
          <w:rFonts w:ascii="Times New Roman" w:eastAsia="Times New Roman" w:hAnsi="Times New Roman" w:cs="Times New Roman"/>
          <w:kern w:val="0"/>
          <w:sz w:val="24"/>
          <w:szCs w:val="24"/>
          <w14:ligatures w14:val="none"/>
        </w:rPr>
        <w:t xml:space="preserve"> its social media platforms.</w:t>
      </w:r>
    </w:p>
    <w:p w14:paraId="796BEB6C"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reasons behind the variation in engagement rates between the Commission's different social media platforms are likely multifaceted and may include differences in the types of content being posted, the target audience for each platform, and the algorithms used by each platform to determine which content is shown to users. For example, Instagram's algorithm is known to prioritize content that generates high levels of engagement, which may explain why the Commission was able to achieve higher engagement rates on this platform.</w:t>
      </w:r>
    </w:p>
    <w:p w14:paraId="58810427" w14:textId="225C1FE2" w:rsid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In conclusion, the European Commission's social media performance during the monitoring period suggests that the Commission was most successful in generating engagement on Instagram, followed by Facebook,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and Twitter. While the Commission's most successful posts on </w:t>
      </w:r>
      <w:r w:rsidRPr="00A93E55">
        <w:rPr>
          <w:rFonts w:ascii="Times New Roman" w:eastAsia="Times New Roman" w:hAnsi="Times New Roman" w:cs="Times New Roman"/>
          <w:kern w:val="0"/>
          <w:sz w:val="24"/>
          <w:szCs w:val="24"/>
          <w14:ligatures w14:val="none"/>
        </w:rPr>
        <w:lastRenderedPageBreak/>
        <w:t xml:space="preserve">each platform were able to generate relatively high levels of engagement, the Commission may need to work on consistently producing content that resonates with its followers across </w:t>
      </w:r>
      <w:proofErr w:type="gramStart"/>
      <w:r w:rsidRPr="00A93E55">
        <w:rPr>
          <w:rFonts w:ascii="Times New Roman" w:eastAsia="Times New Roman" w:hAnsi="Times New Roman" w:cs="Times New Roman"/>
          <w:kern w:val="0"/>
          <w:sz w:val="24"/>
          <w:szCs w:val="24"/>
          <w14:ligatures w14:val="none"/>
        </w:rPr>
        <w:t>all of</w:t>
      </w:r>
      <w:proofErr w:type="gramEnd"/>
      <w:r w:rsidRPr="00A93E55">
        <w:rPr>
          <w:rFonts w:ascii="Times New Roman" w:eastAsia="Times New Roman" w:hAnsi="Times New Roman" w:cs="Times New Roman"/>
          <w:kern w:val="0"/>
          <w:sz w:val="24"/>
          <w:szCs w:val="24"/>
          <w14:ligatures w14:val="none"/>
        </w:rPr>
        <w:t xml:space="preserve"> its social media platforms. The reasons behind the variation in engagement rates between the Commission's different social media platforms are likely complex and require further analysis to fully understand.</w:t>
      </w:r>
    </w:p>
    <w:p w14:paraId="3258D444" w14:textId="77777777" w:rsidR="00A93E55" w:rsidRDefault="00A93E55" w:rsidP="00A93E55">
      <w:pPr>
        <w:ind w:firstLine="0"/>
        <w:rPr>
          <w:rFonts w:ascii="Times New Roman" w:eastAsia="Times New Roman" w:hAnsi="Times New Roman" w:cs="Times New Roman"/>
          <w:kern w:val="0"/>
          <w:sz w:val="24"/>
          <w:szCs w:val="24"/>
          <w14:ligatures w14:val="none"/>
        </w:rPr>
      </w:pPr>
    </w:p>
    <w:p w14:paraId="52BA652E" w14:textId="03DB6C32" w:rsidR="002277F5" w:rsidRPr="002277F5" w:rsidRDefault="00550FB3" w:rsidP="002277F5">
      <w:pPr>
        <w:ind w:firstLine="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41FA1F46" wp14:editId="664AA6A1">
            <wp:extent cx="6305550" cy="354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2179" cy="3557967"/>
                    </a:xfrm>
                    <a:prstGeom prst="rect">
                      <a:avLst/>
                    </a:prstGeom>
                    <a:noFill/>
                  </pic:spPr>
                </pic:pic>
              </a:graphicData>
            </a:graphic>
          </wp:inline>
        </w:drawing>
      </w:r>
    </w:p>
    <w:p w14:paraId="080E9B9E" w14:textId="4F30192E" w:rsidR="002277F5" w:rsidRPr="002277F5" w:rsidRDefault="002277F5" w:rsidP="002277F5">
      <w:pPr>
        <w:ind w:firstLine="0"/>
        <w:jc w:val="center"/>
        <w:rPr>
          <w:rFonts w:ascii="Times New Roman" w:eastAsia="Times New Roman" w:hAnsi="Times New Roman" w:cs="Times New Roman"/>
          <w:kern w:val="0"/>
          <w:sz w:val="24"/>
          <w:szCs w:val="24"/>
          <w14:ligatures w14:val="none"/>
        </w:rPr>
      </w:pPr>
    </w:p>
    <w:p w14:paraId="0B6DDCA5" w14:textId="77777777" w:rsidR="002277F5" w:rsidRDefault="002277F5" w:rsidP="002277F5">
      <w:pPr>
        <w:ind w:firstLine="0"/>
        <w:rPr>
          <w:rFonts w:ascii="Times New Roman" w:hAnsi="Times New Roman" w:cs="Times New Roman"/>
          <w:sz w:val="24"/>
          <w:szCs w:val="24"/>
        </w:rPr>
      </w:pPr>
    </w:p>
    <w:p w14:paraId="3CA5A5A8" w14:textId="77777777" w:rsidR="002277F5" w:rsidRDefault="002277F5" w:rsidP="002277F5">
      <w:pPr>
        <w:ind w:firstLine="0"/>
        <w:rPr>
          <w:rFonts w:ascii="Times New Roman" w:hAnsi="Times New Roman" w:cs="Times New Roman"/>
          <w:sz w:val="24"/>
          <w:szCs w:val="24"/>
        </w:rPr>
      </w:pPr>
    </w:p>
    <w:p w14:paraId="22D00005" w14:textId="77777777" w:rsidR="002277F5" w:rsidRDefault="002277F5" w:rsidP="002277F5">
      <w:pPr>
        <w:ind w:firstLine="0"/>
        <w:rPr>
          <w:rFonts w:ascii="Times New Roman" w:hAnsi="Times New Roman" w:cs="Times New Roman"/>
          <w:sz w:val="24"/>
          <w:szCs w:val="24"/>
        </w:rPr>
      </w:pPr>
    </w:p>
    <w:p w14:paraId="5D32CB7C" w14:textId="4D9290BF" w:rsidR="00686F1D" w:rsidRDefault="00686F1D" w:rsidP="00686F1D">
      <w:pPr>
        <w:rPr>
          <w:rFonts w:ascii="Times New Roman" w:hAnsi="Times New Roman" w:cs="Times New Roman"/>
          <w:b/>
          <w:bCs/>
          <w:sz w:val="24"/>
          <w:szCs w:val="24"/>
        </w:rPr>
      </w:pPr>
      <w:r>
        <w:rPr>
          <w:rFonts w:ascii="Times New Roman" w:hAnsi="Times New Roman" w:cs="Times New Roman"/>
          <w:b/>
          <w:bCs/>
          <w:sz w:val="24"/>
          <w:szCs w:val="24"/>
        </w:rPr>
        <w:t>References</w:t>
      </w:r>
    </w:p>
    <w:p w14:paraId="014E45CE" w14:textId="77777777" w:rsidR="00FD4E60" w:rsidRPr="00FD4E60" w:rsidRDefault="00686F1D" w:rsidP="00FD4E60">
      <w:pPr>
        <w:pStyle w:val="Bibliography"/>
        <w:spacing w:line="240" w:lineRule="auto"/>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D4E60" w:rsidRPr="00FD4E60">
        <w:rPr>
          <w:rFonts w:ascii="Times New Roman" w:hAnsi="Times New Roman" w:cs="Times New Roman"/>
          <w:sz w:val="24"/>
        </w:rPr>
        <w:t xml:space="preserve">Bankston, J. (2021). Migration and smuggling across virtual borders: A European Union case study of internet governance and immigration politics. In </w:t>
      </w:r>
      <w:r w:rsidR="00FD4E60" w:rsidRPr="00FD4E60">
        <w:rPr>
          <w:rFonts w:ascii="Times New Roman" w:hAnsi="Times New Roman" w:cs="Times New Roman"/>
          <w:i/>
          <w:iCs/>
          <w:sz w:val="24"/>
        </w:rPr>
        <w:t>Digital Identity, Virtual Borders and Social Media</w:t>
      </w:r>
      <w:r w:rsidR="00FD4E60" w:rsidRPr="00FD4E60">
        <w:rPr>
          <w:rFonts w:ascii="Times New Roman" w:hAnsi="Times New Roman" w:cs="Times New Roman"/>
          <w:sz w:val="24"/>
        </w:rPr>
        <w:t xml:space="preserve"> (pp. 73–97). Edward Elgar Publishing.</w:t>
      </w:r>
    </w:p>
    <w:p w14:paraId="32D8A111"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Bene, M., Ceron, A., Fenoll, V., Haßler, J., Kruschinski, S., Larsson, A. O., Magin, M., Schlosser, K., &amp; Wurst, A.-K. (2022). Keep them engaged! Investigating the effects of self-centered social media communication style on user engagement in 12 European countries. </w:t>
      </w:r>
      <w:r w:rsidRPr="00FD4E60">
        <w:rPr>
          <w:rFonts w:ascii="Times New Roman" w:hAnsi="Times New Roman" w:cs="Times New Roman"/>
          <w:i/>
          <w:iCs/>
          <w:sz w:val="24"/>
        </w:rPr>
        <w:t>Political Communication</w:t>
      </w:r>
      <w:r w:rsidRPr="00FD4E60">
        <w:rPr>
          <w:rFonts w:ascii="Times New Roman" w:hAnsi="Times New Roman" w:cs="Times New Roman"/>
          <w:sz w:val="24"/>
        </w:rPr>
        <w:t xml:space="preserve">, </w:t>
      </w:r>
      <w:r w:rsidRPr="00FD4E60">
        <w:rPr>
          <w:rFonts w:ascii="Times New Roman" w:hAnsi="Times New Roman" w:cs="Times New Roman"/>
          <w:i/>
          <w:iCs/>
          <w:sz w:val="24"/>
        </w:rPr>
        <w:t>39</w:t>
      </w:r>
      <w:r w:rsidRPr="00FD4E60">
        <w:rPr>
          <w:rFonts w:ascii="Times New Roman" w:hAnsi="Times New Roman" w:cs="Times New Roman"/>
          <w:sz w:val="24"/>
        </w:rPr>
        <w:t>(4), 429–453.</w:t>
      </w:r>
    </w:p>
    <w:p w14:paraId="3BA7C99E"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Cinelli, M., Peruzzi, A., Schmidt, A. L., Villa, R., Costa, E., Quattrociocchi, W., &amp; Zollo, F. (2022). Promoting engagement with quality communication in social media. </w:t>
      </w:r>
      <w:r w:rsidRPr="00FD4E60">
        <w:rPr>
          <w:rFonts w:ascii="Times New Roman" w:hAnsi="Times New Roman" w:cs="Times New Roman"/>
          <w:i/>
          <w:iCs/>
          <w:sz w:val="24"/>
        </w:rPr>
        <w:t>Plos One</w:t>
      </w:r>
      <w:r w:rsidRPr="00FD4E60">
        <w:rPr>
          <w:rFonts w:ascii="Times New Roman" w:hAnsi="Times New Roman" w:cs="Times New Roman"/>
          <w:sz w:val="24"/>
        </w:rPr>
        <w:t xml:space="preserve">, </w:t>
      </w:r>
      <w:r w:rsidRPr="00FD4E60">
        <w:rPr>
          <w:rFonts w:ascii="Times New Roman" w:hAnsi="Times New Roman" w:cs="Times New Roman"/>
          <w:i/>
          <w:iCs/>
          <w:sz w:val="24"/>
        </w:rPr>
        <w:t>17</w:t>
      </w:r>
      <w:r w:rsidRPr="00FD4E60">
        <w:rPr>
          <w:rFonts w:ascii="Times New Roman" w:hAnsi="Times New Roman" w:cs="Times New Roman"/>
          <w:sz w:val="24"/>
        </w:rPr>
        <w:t>(10), e0275534.</w:t>
      </w:r>
    </w:p>
    <w:p w14:paraId="2EEE797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De Wilde, P., Rasch, A., &amp; Bossetta, M. (2022). Analyzing citizen engagement with European politics on social media. </w:t>
      </w:r>
      <w:r w:rsidRPr="00FD4E60">
        <w:rPr>
          <w:rFonts w:ascii="Times New Roman" w:hAnsi="Times New Roman" w:cs="Times New Roman"/>
          <w:i/>
          <w:iCs/>
          <w:sz w:val="24"/>
        </w:rPr>
        <w:t>Politics and Governance</w:t>
      </w:r>
      <w:r w:rsidRPr="00FD4E60">
        <w:rPr>
          <w:rFonts w:ascii="Times New Roman" w:hAnsi="Times New Roman" w:cs="Times New Roman"/>
          <w:sz w:val="24"/>
        </w:rPr>
        <w:t xml:space="preserve">, </w:t>
      </w:r>
      <w:r w:rsidRPr="00FD4E60">
        <w:rPr>
          <w:rFonts w:ascii="Times New Roman" w:hAnsi="Times New Roman" w:cs="Times New Roman"/>
          <w:i/>
          <w:iCs/>
          <w:sz w:val="24"/>
        </w:rPr>
        <w:t>10</w:t>
      </w:r>
      <w:r w:rsidRPr="00FD4E60">
        <w:rPr>
          <w:rFonts w:ascii="Times New Roman" w:hAnsi="Times New Roman" w:cs="Times New Roman"/>
          <w:sz w:val="24"/>
        </w:rPr>
        <w:t>(1), 90–96.</w:t>
      </w:r>
    </w:p>
    <w:p w14:paraId="0DB6C245"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lastRenderedPageBreak/>
        <w:t xml:space="preserve">Dolan, R., Conduit, J., Fahy, J., &amp; Goodman, S. (2016). Social media engagement behaviour: A uses and gratifications perspective. </w:t>
      </w:r>
      <w:r w:rsidRPr="00FD4E60">
        <w:rPr>
          <w:rFonts w:ascii="Times New Roman" w:hAnsi="Times New Roman" w:cs="Times New Roman"/>
          <w:i/>
          <w:iCs/>
          <w:sz w:val="24"/>
        </w:rPr>
        <w:t>Journal of Strategic Marketing</w:t>
      </w:r>
      <w:r w:rsidRPr="00FD4E60">
        <w:rPr>
          <w:rFonts w:ascii="Times New Roman" w:hAnsi="Times New Roman" w:cs="Times New Roman"/>
          <w:sz w:val="24"/>
        </w:rPr>
        <w:t xml:space="preserve">, </w:t>
      </w:r>
      <w:r w:rsidRPr="00FD4E60">
        <w:rPr>
          <w:rFonts w:ascii="Times New Roman" w:hAnsi="Times New Roman" w:cs="Times New Roman"/>
          <w:i/>
          <w:iCs/>
          <w:sz w:val="24"/>
        </w:rPr>
        <w:t>24</w:t>
      </w:r>
      <w:r w:rsidRPr="00FD4E60">
        <w:rPr>
          <w:rFonts w:ascii="Times New Roman" w:hAnsi="Times New Roman" w:cs="Times New Roman"/>
          <w:sz w:val="24"/>
        </w:rPr>
        <w:t>(3–4), 261–277.</w:t>
      </w:r>
    </w:p>
    <w:p w14:paraId="3747841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Dragseth, M. R. (2020). Building student engagement through social media. </w:t>
      </w:r>
      <w:r w:rsidRPr="00FD4E60">
        <w:rPr>
          <w:rFonts w:ascii="Times New Roman" w:hAnsi="Times New Roman" w:cs="Times New Roman"/>
          <w:i/>
          <w:iCs/>
          <w:sz w:val="24"/>
        </w:rPr>
        <w:t>Journal of Political Science Education</w:t>
      </w:r>
      <w:r w:rsidRPr="00FD4E60">
        <w:rPr>
          <w:rFonts w:ascii="Times New Roman" w:hAnsi="Times New Roman" w:cs="Times New Roman"/>
          <w:sz w:val="24"/>
        </w:rPr>
        <w:t xml:space="preserve">, </w:t>
      </w:r>
      <w:r w:rsidRPr="00FD4E60">
        <w:rPr>
          <w:rFonts w:ascii="Times New Roman" w:hAnsi="Times New Roman" w:cs="Times New Roman"/>
          <w:i/>
          <w:iCs/>
          <w:sz w:val="24"/>
        </w:rPr>
        <w:t>16</w:t>
      </w:r>
      <w:r w:rsidRPr="00FD4E60">
        <w:rPr>
          <w:rFonts w:ascii="Times New Roman" w:hAnsi="Times New Roman" w:cs="Times New Roman"/>
          <w:sz w:val="24"/>
        </w:rPr>
        <w:t>(2), 243–256.</w:t>
      </w:r>
    </w:p>
    <w:p w14:paraId="4DA35AF2"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Hancu-Budui, A., Zorio-Grima, A., &amp; Blanco-Vega, J. (2020). Audit institutions in the European Union: Public service promotion, environmental engagement and Covid crisis communication through social media. </w:t>
      </w:r>
      <w:r w:rsidRPr="00FD4E60">
        <w:rPr>
          <w:rFonts w:ascii="Times New Roman" w:hAnsi="Times New Roman" w:cs="Times New Roman"/>
          <w:i/>
          <w:iCs/>
          <w:sz w:val="24"/>
        </w:rPr>
        <w:t>Sustainability</w:t>
      </w:r>
      <w:r w:rsidRPr="00FD4E60">
        <w:rPr>
          <w:rFonts w:ascii="Times New Roman" w:hAnsi="Times New Roman" w:cs="Times New Roman"/>
          <w:sz w:val="24"/>
        </w:rPr>
        <w:t xml:space="preserve">, </w:t>
      </w:r>
      <w:r w:rsidRPr="00FD4E60">
        <w:rPr>
          <w:rFonts w:ascii="Times New Roman" w:hAnsi="Times New Roman" w:cs="Times New Roman"/>
          <w:i/>
          <w:iCs/>
          <w:sz w:val="24"/>
        </w:rPr>
        <w:t>12</w:t>
      </w:r>
      <w:r w:rsidRPr="00FD4E60">
        <w:rPr>
          <w:rFonts w:ascii="Times New Roman" w:hAnsi="Times New Roman" w:cs="Times New Roman"/>
          <w:sz w:val="24"/>
        </w:rPr>
        <w:t>(23), 9816.</w:t>
      </w:r>
    </w:p>
    <w:p w14:paraId="0EE4C1AB"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Kanol, D., &amp; Nat, M. (2021). Group type and social media engagement strategies in the EU: The case of British interest groups on Facebook. </w:t>
      </w:r>
      <w:r w:rsidRPr="00FD4E60">
        <w:rPr>
          <w:rFonts w:ascii="Times New Roman" w:hAnsi="Times New Roman" w:cs="Times New Roman"/>
          <w:i/>
          <w:iCs/>
          <w:sz w:val="24"/>
        </w:rPr>
        <w:t>Journal of Public and Nonprofit Affairs</w:t>
      </w:r>
      <w:r w:rsidRPr="00FD4E60">
        <w:rPr>
          <w:rFonts w:ascii="Times New Roman" w:hAnsi="Times New Roman" w:cs="Times New Roman"/>
          <w:sz w:val="24"/>
        </w:rPr>
        <w:t xml:space="preserve">, </w:t>
      </w:r>
      <w:r w:rsidRPr="00FD4E60">
        <w:rPr>
          <w:rFonts w:ascii="Times New Roman" w:hAnsi="Times New Roman" w:cs="Times New Roman"/>
          <w:i/>
          <w:iCs/>
          <w:sz w:val="24"/>
        </w:rPr>
        <w:t>7</w:t>
      </w:r>
      <w:r w:rsidRPr="00FD4E60">
        <w:rPr>
          <w:rFonts w:ascii="Times New Roman" w:hAnsi="Times New Roman" w:cs="Times New Roman"/>
          <w:sz w:val="24"/>
        </w:rPr>
        <w:t>(2), 205–219.</w:t>
      </w:r>
    </w:p>
    <w:p w14:paraId="78E6891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Mirbagheri, S., &amp; Najmi, M. (2019). Consumers’ engagement with social media activation campaigns: Construct conceptualization and scale development. </w:t>
      </w:r>
      <w:r w:rsidRPr="00FD4E60">
        <w:rPr>
          <w:rFonts w:ascii="Times New Roman" w:hAnsi="Times New Roman" w:cs="Times New Roman"/>
          <w:i/>
          <w:iCs/>
          <w:sz w:val="24"/>
        </w:rPr>
        <w:t>Psychology &amp; Marketing</w:t>
      </w:r>
      <w:r w:rsidRPr="00FD4E60">
        <w:rPr>
          <w:rFonts w:ascii="Times New Roman" w:hAnsi="Times New Roman" w:cs="Times New Roman"/>
          <w:sz w:val="24"/>
        </w:rPr>
        <w:t xml:space="preserve">, </w:t>
      </w:r>
      <w:r w:rsidRPr="00FD4E60">
        <w:rPr>
          <w:rFonts w:ascii="Times New Roman" w:hAnsi="Times New Roman" w:cs="Times New Roman"/>
          <w:i/>
          <w:iCs/>
          <w:sz w:val="24"/>
        </w:rPr>
        <w:t>36</w:t>
      </w:r>
      <w:r w:rsidRPr="00FD4E60">
        <w:rPr>
          <w:rFonts w:ascii="Times New Roman" w:hAnsi="Times New Roman" w:cs="Times New Roman"/>
          <w:sz w:val="24"/>
        </w:rPr>
        <w:t>(4), 376–394.</w:t>
      </w:r>
    </w:p>
    <w:p w14:paraId="3F2664F7"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Müller, M. (2022). Spreading the word? European Union agencies and social media attention. </w:t>
      </w:r>
      <w:r w:rsidRPr="00FD4E60">
        <w:rPr>
          <w:rFonts w:ascii="Times New Roman" w:hAnsi="Times New Roman" w:cs="Times New Roman"/>
          <w:i/>
          <w:iCs/>
          <w:sz w:val="24"/>
        </w:rPr>
        <w:t>Government Information Quarterly</w:t>
      </w:r>
      <w:r w:rsidRPr="00FD4E60">
        <w:rPr>
          <w:rFonts w:ascii="Times New Roman" w:hAnsi="Times New Roman" w:cs="Times New Roman"/>
          <w:sz w:val="24"/>
        </w:rPr>
        <w:t xml:space="preserve">, </w:t>
      </w:r>
      <w:r w:rsidRPr="00FD4E60">
        <w:rPr>
          <w:rFonts w:ascii="Times New Roman" w:hAnsi="Times New Roman" w:cs="Times New Roman"/>
          <w:i/>
          <w:iCs/>
          <w:sz w:val="24"/>
        </w:rPr>
        <w:t>39</w:t>
      </w:r>
      <w:r w:rsidRPr="00FD4E60">
        <w:rPr>
          <w:rFonts w:ascii="Times New Roman" w:hAnsi="Times New Roman" w:cs="Times New Roman"/>
          <w:sz w:val="24"/>
        </w:rPr>
        <w:t>(2), 101682.</w:t>
      </w:r>
    </w:p>
    <w:p w14:paraId="3EFC2C53"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Rus, M., Tasente, T., &amp; Camara, V. (2021). Social Media Communication of Public Institutions. Case Study: Representation of the European Commission in Romania. </w:t>
      </w:r>
      <w:r w:rsidRPr="00FD4E60">
        <w:rPr>
          <w:rFonts w:ascii="Times New Roman" w:hAnsi="Times New Roman" w:cs="Times New Roman"/>
          <w:i/>
          <w:iCs/>
          <w:sz w:val="24"/>
        </w:rPr>
        <w:t>Technium Social Sciences Journal</w:t>
      </w:r>
      <w:r w:rsidRPr="00FD4E60">
        <w:rPr>
          <w:rFonts w:ascii="Times New Roman" w:hAnsi="Times New Roman" w:cs="Times New Roman"/>
          <w:sz w:val="24"/>
        </w:rPr>
        <w:t xml:space="preserve">, </w:t>
      </w:r>
      <w:r w:rsidRPr="00FD4E60">
        <w:rPr>
          <w:rFonts w:ascii="Times New Roman" w:hAnsi="Times New Roman" w:cs="Times New Roman"/>
          <w:i/>
          <w:iCs/>
          <w:sz w:val="24"/>
        </w:rPr>
        <w:t>17</w:t>
      </w:r>
      <w:r w:rsidRPr="00FD4E60">
        <w:rPr>
          <w:rFonts w:ascii="Times New Roman" w:hAnsi="Times New Roman" w:cs="Times New Roman"/>
          <w:sz w:val="24"/>
        </w:rPr>
        <w:t>, 119.</w:t>
      </w:r>
    </w:p>
    <w:p w14:paraId="6B3D48C3"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Smith, B. G., &amp; Gallicano, T. D. (2015). Terms of engagement: Analyzing public engagement with organizations through social media. </w:t>
      </w:r>
      <w:r w:rsidRPr="00FD4E60">
        <w:rPr>
          <w:rFonts w:ascii="Times New Roman" w:hAnsi="Times New Roman" w:cs="Times New Roman"/>
          <w:i/>
          <w:iCs/>
          <w:sz w:val="24"/>
        </w:rPr>
        <w:t>Computers in Human Behavior</w:t>
      </w:r>
      <w:r w:rsidRPr="00FD4E60">
        <w:rPr>
          <w:rFonts w:ascii="Times New Roman" w:hAnsi="Times New Roman" w:cs="Times New Roman"/>
          <w:sz w:val="24"/>
        </w:rPr>
        <w:t xml:space="preserve">, </w:t>
      </w:r>
      <w:r w:rsidRPr="00FD4E60">
        <w:rPr>
          <w:rFonts w:ascii="Times New Roman" w:hAnsi="Times New Roman" w:cs="Times New Roman"/>
          <w:i/>
          <w:iCs/>
          <w:sz w:val="24"/>
        </w:rPr>
        <w:t>53</w:t>
      </w:r>
      <w:r w:rsidRPr="00FD4E60">
        <w:rPr>
          <w:rFonts w:ascii="Times New Roman" w:hAnsi="Times New Roman" w:cs="Times New Roman"/>
          <w:sz w:val="24"/>
        </w:rPr>
        <w:t>, 82–90.</w:t>
      </w:r>
    </w:p>
    <w:p w14:paraId="291D4E29"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Voorveld, H. A., Van Noort, G., Muntinga, D. G., &amp; Bronner, F. (2018). Engagement with social media and social media advertising: The differentiating role of platform type. </w:t>
      </w:r>
      <w:r w:rsidRPr="00FD4E60">
        <w:rPr>
          <w:rFonts w:ascii="Times New Roman" w:hAnsi="Times New Roman" w:cs="Times New Roman"/>
          <w:i/>
          <w:iCs/>
          <w:sz w:val="24"/>
        </w:rPr>
        <w:t>Journal of Advertising</w:t>
      </w:r>
      <w:r w:rsidRPr="00FD4E60">
        <w:rPr>
          <w:rFonts w:ascii="Times New Roman" w:hAnsi="Times New Roman" w:cs="Times New Roman"/>
          <w:sz w:val="24"/>
        </w:rPr>
        <w:t xml:space="preserve">, </w:t>
      </w:r>
      <w:r w:rsidRPr="00FD4E60">
        <w:rPr>
          <w:rFonts w:ascii="Times New Roman" w:hAnsi="Times New Roman" w:cs="Times New Roman"/>
          <w:i/>
          <w:iCs/>
          <w:sz w:val="24"/>
        </w:rPr>
        <w:t>47</w:t>
      </w:r>
      <w:r w:rsidRPr="00FD4E60">
        <w:rPr>
          <w:rFonts w:ascii="Times New Roman" w:hAnsi="Times New Roman" w:cs="Times New Roman"/>
          <w:sz w:val="24"/>
        </w:rPr>
        <w:t>(1), 38–54.</w:t>
      </w:r>
    </w:p>
    <w:p w14:paraId="644C5555"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Wei, Y., Gong, P., Zhang, J., &amp; Wang, L. (2021). Exploring public opinions on climate change policy in" Big Data Era"—A case study of the European Union Emission Trading System (EU-ETS) based on Twitter. </w:t>
      </w:r>
      <w:r w:rsidRPr="00FD4E60">
        <w:rPr>
          <w:rFonts w:ascii="Times New Roman" w:hAnsi="Times New Roman" w:cs="Times New Roman"/>
          <w:i/>
          <w:iCs/>
          <w:sz w:val="24"/>
        </w:rPr>
        <w:t>Energy Policy</w:t>
      </w:r>
      <w:r w:rsidRPr="00FD4E60">
        <w:rPr>
          <w:rFonts w:ascii="Times New Roman" w:hAnsi="Times New Roman" w:cs="Times New Roman"/>
          <w:sz w:val="24"/>
        </w:rPr>
        <w:t xml:space="preserve">, </w:t>
      </w:r>
      <w:r w:rsidRPr="00FD4E60">
        <w:rPr>
          <w:rFonts w:ascii="Times New Roman" w:hAnsi="Times New Roman" w:cs="Times New Roman"/>
          <w:i/>
          <w:iCs/>
          <w:sz w:val="24"/>
        </w:rPr>
        <w:t>158</w:t>
      </w:r>
      <w:r w:rsidRPr="00FD4E60">
        <w:rPr>
          <w:rFonts w:ascii="Times New Roman" w:hAnsi="Times New Roman" w:cs="Times New Roman"/>
          <w:sz w:val="24"/>
        </w:rPr>
        <w:t>, 112559.</w:t>
      </w:r>
    </w:p>
    <w:p w14:paraId="303CE830" w14:textId="2F3444E5" w:rsidR="00686F1D" w:rsidRPr="00686F1D" w:rsidRDefault="00686F1D" w:rsidP="00FD4E60">
      <w:pPr>
        <w:rPr>
          <w:rFonts w:ascii="Times New Roman" w:hAnsi="Times New Roman" w:cs="Times New Roman"/>
          <w:sz w:val="24"/>
          <w:szCs w:val="24"/>
        </w:rPr>
      </w:pPr>
      <w:r>
        <w:rPr>
          <w:rFonts w:ascii="Times New Roman" w:hAnsi="Times New Roman" w:cs="Times New Roman"/>
          <w:sz w:val="24"/>
          <w:szCs w:val="24"/>
        </w:rPr>
        <w:fldChar w:fldCharType="end"/>
      </w:r>
    </w:p>
    <w:sectPr w:rsidR="00686F1D" w:rsidRPr="00686F1D" w:rsidSect="00E43CCA">
      <w:pgSz w:w="12240" w:h="15840"/>
      <w:pgMar w:top="2304" w:right="1411" w:bottom="1526"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C5D"/>
    <w:multiLevelType w:val="multilevel"/>
    <w:tmpl w:val="98C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10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F7"/>
    <w:rsid w:val="00050E38"/>
    <w:rsid w:val="00180CE5"/>
    <w:rsid w:val="002277F5"/>
    <w:rsid w:val="00550FB3"/>
    <w:rsid w:val="00585DF7"/>
    <w:rsid w:val="00686F1D"/>
    <w:rsid w:val="009A5E39"/>
    <w:rsid w:val="00A93E55"/>
    <w:rsid w:val="00AB1379"/>
    <w:rsid w:val="00B97DFF"/>
    <w:rsid w:val="00CE7902"/>
    <w:rsid w:val="00E43CCA"/>
    <w:rsid w:val="00FD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D502"/>
  <w15:chartTrackingRefBased/>
  <w15:docId w15:val="{C7F61328-D5AF-40C8-8331-7F0CB2DB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77F5"/>
    <w:pPr>
      <w:spacing w:before="100" w:beforeAutospacing="1" w:after="100" w:afterAutospacing="1"/>
      <w:ind w:firstLine="0"/>
      <w:jc w:val="left"/>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86F1D"/>
    <w:pPr>
      <w:spacing w:line="480" w:lineRule="auto"/>
      <w:ind w:left="720" w:hanging="720"/>
    </w:pPr>
  </w:style>
  <w:style w:type="character" w:customStyle="1" w:styleId="Heading4Char">
    <w:name w:val="Heading 4 Char"/>
    <w:basedOn w:val="DefaultParagraphFont"/>
    <w:link w:val="Heading4"/>
    <w:uiPriority w:val="9"/>
    <w:rsid w:val="002277F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2432">
      <w:bodyDiv w:val="1"/>
      <w:marLeft w:val="0"/>
      <w:marRight w:val="0"/>
      <w:marTop w:val="0"/>
      <w:marBottom w:val="0"/>
      <w:divBdr>
        <w:top w:val="none" w:sz="0" w:space="0" w:color="auto"/>
        <w:left w:val="none" w:sz="0" w:space="0" w:color="auto"/>
        <w:bottom w:val="none" w:sz="0" w:space="0" w:color="auto"/>
        <w:right w:val="none" w:sz="0" w:space="0" w:color="auto"/>
      </w:divBdr>
    </w:div>
    <w:div w:id="181936927">
      <w:bodyDiv w:val="1"/>
      <w:marLeft w:val="0"/>
      <w:marRight w:val="0"/>
      <w:marTop w:val="0"/>
      <w:marBottom w:val="0"/>
      <w:divBdr>
        <w:top w:val="none" w:sz="0" w:space="0" w:color="auto"/>
        <w:left w:val="none" w:sz="0" w:space="0" w:color="auto"/>
        <w:bottom w:val="none" w:sz="0" w:space="0" w:color="auto"/>
        <w:right w:val="none" w:sz="0" w:space="0" w:color="auto"/>
      </w:divBdr>
    </w:div>
    <w:div w:id="274606958">
      <w:bodyDiv w:val="1"/>
      <w:marLeft w:val="0"/>
      <w:marRight w:val="0"/>
      <w:marTop w:val="0"/>
      <w:marBottom w:val="0"/>
      <w:divBdr>
        <w:top w:val="none" w:sz="0" w:space="0" w:color="auto"/>
        <w:left w:val="none" w:sz="0" w:space="0" w:color="auto"/>
        <w:bottom w:val="none" w:sz="0" w:space="0" w:color="auto"/>
        <w:right w:val="none" w:sz="0" w:space="0" w:color="auto"/>
      </w:divBdr>
      <w:divsChild>
        <w:div w:id="567301780">
          <w:marLeft w:val="0"/>
          <w:marRight w:val="108"/>
          <w:marTop w:val="18"/>
          <w:marBottom w:val="108"/>
          <w:divBdr>
            <w:top w:val="none" w:sz="0" w:space="0" w:color="auto"/>
            <w:left w:val="none" w:sz="0" w:space="0" w:color="auto"/>
            <w:bottom w:val="none" w:sz="0" w:space="0" w:color="auto"/>
            <w:right w:val="none" w:sz="0" w:space="0" w:color="auto"/>
          </w:divBdr>
          <w:divsChild>
            <w:div w:id="290480970">
              <w:marLeft w:val="0"/>
              <w:marRight w:val="0"/>
              <w:marTop w:val="0"/>
              <w:marBottom w:val="0"/>
              <w:divBdr>
                <w:top w:val="none" w:sz="0" w:space="0" w:color="auto"/>
                <w:left w:val="none" w:sz="0" w:space="0" w:color="auto"/>
                <w:bottom w:val="none" w:sz="0" w:space="0" w:color="auto"/>
                <w:right w:val="none" w:sz="0" w:space="0" w:color="auto"/>
              </w:divBdr>
              <w:divsChild>
                <w:div w:id="20134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4059">
      <w:bodyDiv w:val="1"/>
      <w:marLeft w:val="0"/>
      <w:marRight w:val="0"/>
      <w:marTop w:val="0"/>
      <w:marBottom w:val="0"/>
      <w:divBdr>
        <w:top w:val="none" w:sz="0" w:space="0" w:color="auto"/>
        <w:left w:val="none" w:sz="0" w:space="0" w:color="auto"/>
        <w:bottom w:val="none" w:sz="0" w:space="0" w:color="auto"/>
        <w:right w:val="none" w:sz="0" w:space="0" w:color="auto"/>
      </w:divBdr>
      <w:divsChild>
        <w:div w:id="209221322">
          <w:marLeft w:val="0"/>
          <w:marRight w:val="0"/>
          <w:marTop w:val="0"/>
          <w:marBottom w:val="0"/>
          <w:divBdr>
            <w:top w:val="single" w:sz="2" w:space="0" w:color="auto"/>
            <w:left w:val="single" w:sz="2" w:space="0" w:color="auto"/>
            <w:bottom w:val="single" w:sz="6" w:space="0" w:color="auto"/>
            <w:right w:val="single" w:sz="2" w:space="0" w:color="auto"/>
          </w:divBdr>
          <w:divsChild>
            <w:div w:id="1655405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256757">
                  <w:marLeft w:val="0"/>
                  <w:marRight w:val="0"/>
                  <w:marTop w:val="0"/>
                  <w:marBottom w:val="0"/>
                  <w:divBdr>
                    <w:top w:val="single" w:sz="2" w:space="0" w:color="D9D9E3"/>
                    <w:left w:val="single" w:sz="2" w:space="0" w:color="D9D9E3"/>
                    <w:bottom w:val="single" w:sz="2" w:space="0" w:color="D9D9E3"/>
                    <w:right w:val="single" w:sz="2" w:space="0" w:color="D9D9E3"/>
                  </w:divBdr>
                  <w:divsChild>
                    <w:div w:id="1560365538">
                      <w:marLeft w:val="0"/>
                      <w:marRight w:val="0"/>
                      <w:marTop w:val="0"/>
                      <w:marBottom w:val="0"/>
                      <w:divBdr>
                        <w:top w:val="single" w:sz="2" w:space="0" w:color="D9D9E3"/>
                        <w:left w:val="single" w:sz="2" w:space="0" w:color="D9D9E3"/>
                        <w:bottom w:val="single" w:sz="2" w:space="0" w:color="D9D9E3"/>
                        <w:right w:val="single" w:sz="2" w:space="0" w:color="D9D9E3"/>
                      </w:divBdr>
                      <w:divsChild>
                        <w:div w:id="712583550">
                          <w:marLeft w:val="0"/>
                          <w:marRight w:val="0"/>
                          <w:marTop w:val="0"/>
                          <w:marBottom w:val="0"/>
                          <w:divBdr>
                            <w:top w:val="single" w:sz="2" w:space="0" w:color="D9D9E3"/>
                            <w:left w:val="single" w:sz="2" w:space="0" w:color="D9D9E3"/>
                            <w:bottom w:val="single" w:sz="2" w:space="0" w:color="D9D9E3"/>
                            <w:right w:val="single" w:sz="2" w:space="0" w:color="D9D9E3"/>
                          </w:divBdr>
                          <w:divsChild>
                            <w:div w:id="51322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3841116">
          <w:marLeft w:val="0"/>
          <w:marRight w:val="0"/>
          <w:marTop w:val="0"/>
          <w:marBottom w:val="0"/>
          <w:divBdr>
            <w:top w:val="single" w:sz="2" w:space="0" w:color="auto"/>
            <w:left w:val="single" w:sz="2" w:space="0" w:color="auto"/>
            <w:bottom w:val="single" w:sz="6" w:space="0" w:color="auto"/>
            <w:right w:val="single" w:sz="2" w:space="0" w:color="auto"/>
          </w:divBdr>
          <w:divsChild>
            <w:div w:id="26550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788854">
                  <w:marLeft w:val="0"/>
                  <w:marRight w:val="0"/>
                  <w:marTop w:val="0"/>
                  <w:marBottom w:val="0"/>
                  <w:divBdr>
                    <w:top w:val="single" w:sz="2" w:space="0" w:color="D9D9E3"/>
                    <w:left w:val="single" w:sz="2" w:space="0" w:color="D9D9E3"/>
                    <w:bottom w:val="single" w:sz="2" w:space="0" w:color="D9D9E3"/>
                    <w:right w:val="single" w:sz="2" w:space="0" w:color="D9D9E3"/>
                  </w:divBdr>
                  <w:divsChild>
                    <w:div w:id="120671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179261">
                  <w:marLeft w:val="0"/>
                  <w:marRight w:val="0"/>
                  <w:marTop w:val="0"/>
                  <w:marBottom w:val="0"/>
                  <w:divBdr>
                    <w:top w:val="single" w:sz="2" w:space="0" w:color="D9D9E3"/>
                    <w:left w:val="single" w:sz="2" w:space="0" w:color="D9D9E3"/>
                    <w:bottom w:val="single" w:sz="2" w:space="0" w:color="D9D9E3"/>
                    <w:right w:val="single" w:sz="2" w:space="0" w:color="D9D9E3"/>
                  </w:divBdr>
                  <w:divsChild>
                    <w:div w:id="1862352911">
                      <w:marLeft w:val="0"/>
                      <w:marRight w:val="0"/>
                      <w:marTop w:val="0"/>
                      <w:marBottom w:val="0"/>
                      <w:divBdr>
                        <w:top w:val="single" w:sz="2" w:space="0" w:color="D9D9E3"/>
                        <w:left w:val="single" w:sz="2" w:space="0" w:color="D9D9E3"/>
                        <w:bottom w:val="single" w:sz="2" w:space="0" w:color="D9D9E3"/>
                        <w:right w:val="single" w:sz="2" w:space="0" w:color="D9D9E3"/>
                      </w:divBdr>
                      <w:divsChild>
                        <w:div w:id="115553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243722">
          <w:marLeft w:val="0"/>
          <w:marRight w:val="0"/>
          <w:marTop w:val="0"/>
          <w:marBottom w:val="0"/>
          <w:divBdr>
            <w:top w:val="single" w:sz="2" w:space="0" w:color="auto"/>
            <w:left w:val="single" w:sz="2" w:space="0" w:color="auto"/>
            <w:bottom w:val="single" w:sz="6" w:space="0" w:color="auto"/>
            <w:right w:val="single" w:sz="2" w:space="0" w:color="auto"/>
          </w:divBdr>
          <w:divsChild>
            <w:div w:id="2768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524607">
                  <w:marLeft w:val="0"/>
                  <w:marRight w:val="0"/>
                  <w:marTop w:val="0"/>
                  <w:marBottom w:val="0"/>
                  <w:divBdr>
                    <w:top w:val="single" w:sz="2" w:space="0" w:color="D9D9E3"/>
                    <w:left w:val="single" w:sz="2" w:space="0" w:color="D9D9E3"/>
                    <w:bottom w:val="single" w:sz="2" w:space="0" w:color="D9D9E3"/>
                    <w:right w:val="single" w:sz="2" w:space="0" w:color="D9D9E3"/>
                  </w:divBdr>
                  <w:divsChild>
                    <w:div w:id="2141651780">
                      <w:marLeft w:val="0"/>
                      <w:marRight w:val="0"/>
                      <w:marTop w:val="0"/>
                      <w:marBottom w:val="0"/>
                      <w:divBdr>
                        <w:top w:val="single" w:sz="2" w:space="0" w:color="D9D9E3"/>
                        <w:left w:val="single" w:sz="2" w:space="0" w:color="D9D9E3"/>
                        <w:bottom w:val="single" w:sz="2" w:space="0" w:color="D9D9E3"/>
                        <w:right w:val="single" w:sz="2" w:space="0" w:color="D9D9E3"/>
                      </w:divBdr>
                      <w:divsChild>
                        <w:div w:id="1118766194">
                          <w:marLeft w:val="0"/>
                          <w:marRight w:val="0"/>
                          <w:marTop w:val="0"/>
                          <w:marBottom w:val="0"/>
                          <w:divBdr>
                            <w:top w:val="single" w:sz="2" w:space="0" w:color="D9D9E3"/>
                            <w:left w:val="single" w:sz="2" w:space="0" w:color="D9D9E3"/>
                            <w:bottom w:val="single" w:sz="2" w:space="0" w:color="D9D9E3"/>
                            <w:right w:val="single" w:sz="2" w:space="0" w:color="D9D9E3"/>
                          </w:divBdr>
                          <w:divsChild>
                            <w:div w:id="196669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9552504">
      <w:bodyDiv w:val="1"/>
      <w:marLeft w:val="0"/>
      <w:marRight w:val="0"/>
      <w:marTop w:val="0"/>
      <w:marBottom w:val="0"/>
      <w:divBdr>
        <w:top w:val="none" w:sz="0" w:space="0" w:color="auto"/>
        <w:left w:val="none" w:sz="0" w:space="0" w:color="auto"/>
        <w:bottom w:val="none" w:sz="0" w:space="0" w:color="auto"/>
        <w:right w:val="none" w:sz="0" w:space="0" w:color="auto"/>
      </w:divBdr>
    </w:div>
    <w:div w:id="791093046">
      <w:bodyDiv w:val="1"/>
      <w:marLeft w:val="0"/>
      <w:marRight w:val="0"/>
      <w:marTop w:val="0"/>
      <w:marBottom w:val="0"/>
      <w:divBdr>
        <w:top w:val="none" w:sz="0" w:space="0" w:color="auto"/>
        <w:left w:val="none" w:sz="0" w:space="0" w:color="auto"/>
        <w:bottom w:val="none" w:sz="0" w:space="0" w:color="auto"/>
        <w:right w:val="none" w:sz="0" w:space="0" w:color="auto"/>
      </w:divBdr>
    </w:div>
    <w:div w:id="845633693">
      <w:bodyDiv w:val="1"/>
      <w:marLeft w:val="0"/>
      <w:marRight w:val="0"/>
      <w:marTop w:val="0"/>
      <w:marBottom w:val="0"/>
      <w:divBdr>
        <w:top w:val="none" w:sz="0" w:space="0" w:color="auto"/>
        <w:left w:val="none" w:sz="0" w:space="0" w:color="auto"/>
        <w:bottom w:val="none" w:sz="0" w:space="0" w:color="auto"/>
        <w:right w:val="none" w:sz="0" w:space="0" w:color="auto"/>
      </w:divBdr>
      <w:divsChild>
        <w:div w:id="715852612">
          <w:marLeft w:val="0"/>
          <w:marRight w:val="108"/>
          <w:marTop w:val="18"/>
          <w:marBottom w:val="108"/>
          <w:divBdr>
            <w:top w:val="none" w:sz="0" w:space="0" w:color="auto"/>
            <w:left w:val="none" w:sz="0" w:space="0" w:color="auto"/>
            <w:bottom w:val="none" w:sz="0" w:space="0" w:color="auto"/>
            <w:right w:val="none" w:sz="0" w:space="0" w:color="auto"/>
          </w:divBdr>
          <w:divsChild>
            <w:div w:id="2140226636">
              <w:marLeft w:val="0"/>
              <w:marRight w:val="0"/>
              <w:marTop w:val="0"/>
              <w:marBottom w:val="0"/>
              <w:divBdr>
                <w:top w:val="none" w:sz="0" w:space="0" w:color="auto"/>
                <w:left w:val="none" w:sz="0" w:space="0" w:color="auto"/>
                <w:bottom w:val="none" w:sz="0" w:space="0" w:color="auto"/>
                <w:right w:val="none" w:sz="0" w:space="0" w:color="auto"/>
              </w:divBdr>
              <w:divsChild>
                <w:div w:id="11793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190">
      <w:bodyDiv w:val="1"/>
      <w:marLeft w:val="0"/>
      <w:marRight w:val="0"/>
      <w:marTop w:val="0"/>
      <w:marBottom w:val="0"/>
      <w:divBdr>
        <w:top w:val="none" w:sz="0" w:space="0" w:color="auto"/>
        <w:left w:val="none" w:sz="0" w:space="0" w:color="auto"/>
        <w:bottom w:val="none" w:sz="0" w:space="0" w:color="auto"/>
        <w:right w:val="none" w:sz="0" w:space="0" w:color="auto"/>
      </w:divBdr>
      <w:divsChild>
        <w:div w:id="1293633660">
          <w:marLeft w:val="0"/>
          <w:marRight w:val="108"/>
          <w:marTop w:val="18"/>
          <w:marBottom w:val="108"/>
          <w:divBdr>
            <w:top w:val="none" w:sz="0" w:space="0" w:color="auto"/>
            <w:left w:val="none" w:sz="0" w:space="0" w:color="auto"/>
            <w:bottom w:val="none" w:sz="0" w:space="0" w:color="auto"/>
            <w:right w:val="none" w:sz="0" w:space="0" w:color="auto"/>
          </w:divBdr>
          <w:divsChild>
            <w:div w:id="495532875">
              <w:marLeft w:val="0"/>
              <w:marRight w:val="0"/>
              <w:marTop w:val="0"/>
              <w:marBottom w:val="0"/>
              <w:divBdr>
                <w:top w:val="none" w:sz="0" w:space="0" w:color="auto"/>
                <w:left w:val="none" w:sz="0" w:space="0" w:color="auto"/>
                <w:bottom w:val="none" w:sz="0" w:space="0" w:color="auto"/>
                <w:right w:val="none" w:sz="0" w:space="0" w:color="auto"/>
              </w:divBdr>
              <w:divsChild>
                <w:div w:id="730277571">
                  <w:marLeft w:val="0"/>
                  <w:marRight w:val="0"/>
                  <w:marTop w:val="0"/>
                  <w:marBottom w:val="0"/>
                  <w:divBdr>
                    <w:top w:val="none" w:sz="0" w:space="0" w:color="auto"/>
                    <w:left w:val="none" w:sz="0" w:space="0" w:color="auto"/>
                    <w:bottom w:val="none" w:sz="0" w:space="0" w:color="auto"/>
                    <w:right w:val="none" w:sz="0" w:space="0" w:color="auto"/>
                  </w:divBdr>
                  <w:divsChild>
                    <w:div w:id="372196751">
                      <w:marLeft w:val="0"/>
                      <w:marRight w:val="0"/>
                      <w:marTop w:val="0"/>
                      <w:marBottom w:val="0"/>
                      <w:divBdr>
                        <w:top w:val="none" w:sz="0" w:space="0" w:color="auto"/>
                        <w:left w:val="none" w:sz="0" w:space="0" w:color="auto"/>
                        <w:bottom w:val="none" w:sz="0" w:space="0" w:color="auto"/>
                        <w:right w:val="none" w:sz="0" w:space="0" w:color="auto"/>
                      </w:divBdr>
                      <w:divsChild>
                        <w:div w:id="18938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7751">
      <w:bodyDiv w:val="1"/>
      <w:marLeft w:val="0"/>
      <w:marRight w:val="0"/>
      <w:marTop w:val="0"/>
      <w:marBottom w:val="0"/>
      <w:divBdr>
        <w:top w:val="none" w:sz="0" w:space="0" w:color="auto"/>
        <w:left w:val="none" w:sz="0" w:space="0" w:color="auto"/>
        <w:bottom w:val="none" w:sz="0" w:space="0" w:color="auto"/>
        <w:right w:val="none" w:sz="0" w:space="0" w:color="auto"/>
      </w:divBdr>
    </w:div>
    <w:div w:id="1603876496">
      <w:bodyDiv w:val="1"/>
      <w:marLeft w:val="0"/>
      <w:marRight w:val="0"/>
      <w:marTop w:val="0"/>
      <w:marBottom w:val="0"/>
      <w:divBdr>
        <w:top w:val="none" w:sz="0" w:space="0" w:color="auto"/>
        <w:left w:val="none" w:sz="0" w:space="0" w:color="auto"/>
        <w:bottom w:val="none" w:sz="0" w:space="0" w:color="auto"/>
        <w:right w:val="none" w:sz="0" w:space="0" w:color="auto"/>
      </w:divBdr>
    </w:div>
    <w:div w:id="1620531149">
      <w:bodyDiv w:val="1"/>
      <w:marLeft w:val="0"/>
      <w:marRight w:val="0"/>
      <w:marTop w:val="0"/>
      <w:marBottom w:val="0"/>
      <w:divBdr>
        <w:top w:val="none" w:sz="0" w:space="0" w:color="auto"/>
        <w:left w:val="none" w:sz="0" w:space="0" w:color="auto"/>
        <w:bottom w:val="none" w:sz="0" w:space="0" w:color="auto"/>
        <w:right w:val="none" w:sz="0" w:space="0" w:color="auto"/>
      </w:divBdr>
      <w:divsChild>
        <w:div w:id="1710060821">
          <w:marLeft w:val="0"/>
          <w:marRight w:val="108"/>
          <w:marTop w:val="18"/>
          <w:marBottom w:val="108"/>
          <w:divBdr>
            <w:top w:val="none" w:sz="0" w:space="0" w:color="auto"/>
            <w:left w:val="none" w:sz="0" w:space="0" w:color="auto"/>
            <w:bottom w:val="none" w:sz="0" w:space="0" w:color="auto"/>
            <w:right w:val="none" w:sz="0" w:space="0" w:color="auto"/>
          </w:divBdr>
          <w:divsChild>
            <w:div w:id="2008432680">
              <w:marLeft w:val="0"/>
              <w:marRight w:val="0"/>
              <w:marTop w:val="0"/>
              <w:marBottom w:val="0"/>
              <w:divBdr>
                <w:top w:val="none" w:sz="0" w:space="0" w:color="auto"/>
                <w:left w:val="none" w:sz="0" w:space="0" w:color="auto"/>
                <w:bottom w:val="none" w:sz="0" w:space="0" w:color="auto"/>
                <w:right w:val="none" w:sz="0" w:space="0" w:color="auto"/>
              </w:divBdr>
              <w:divsChild>
                <w:div w:id="284192715">
                  <w:marLeft w:val="0"/>
                  <w:marRight w:val="0"/>
                  <w:marTop w:val="0"/>
                  <w:marBottom w:val="0"/>
                  <w:divBdr>
                    <w:top w:val="none" w:sz="0" w:space="0" w:color="auto"/>
                    <w:left w:val="none" w:sz="0" w:space="0" w:color="auto"/>
                    <w:bottom w:val="none" w:sz="0" w:space="0" w:color="auto"/>
                    <w:right w:val="none" w:sz="0" w:space="0" w:color="auto"/>
                  </w:divBdr>
                  <w:divsChild>
                    <w:div w:id="982656191">
                      <w:marLeft w:val="0"/>
                      <w:marRight w:val="0"/>
                      <w:marTop w:val="0"/>
                      <w:marBottom w:val="0"/>
                      <w:divBdr>
                        <w:top w:val="none" w:sz="0" w:space="0" w:color="auto"/>
                        <w:left w:val="none" w:sz="0" w:space="0" w:color="auto"/>
                        <w:bottom w:val="none" w:sz="0" w:space="0" w:color="auto"/>
                        <w:right w:val="none" w:sz="0" w:space="0" w:color="auto"/>
                      </w:divBdr>
                      <w:divsChild>
                        <w:div w:id="10345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52346">
      <w:bodyDiv w:val="1"/>
      <w:marLeft w:val="0"/>
      <w:marRight w:val="0"/>
      <w:marTop w:val="0"/>
      <w:marBottom w:val="0"/>
      <w:divBdr>
        <w:top w:val="none" w:sz="0" w:space="0" w:color="auto"/>
        <w:left w:val="none" w:sz="0" w:space="0" w:color="auto"/>
        <w:bottom w:val="none" w:sz="0" w:space="0" w:color="auto"/>
        <w:right w:val="none" w:sz="0" w:space="0" w:color="auto"/>
      </w:divBdr>
    </w:div>
    <w:div w:id="1902132838">
      <w:bodyDiv w:val="1"/>
      <w:marLeft w:val="0"/>
      <w:marRight w:val="0"/>
      <w:marTop w:val="0"/>
      <w:marBottom w:val="0"/>
      <w:divBdr>
        <w:top w:val="none" w:sz="0" w:space="0" w:color="auto"/>
        <w:left w:val="none" w:sz="0" w:space="0" w:color="auto"/>
        <w:bottom w:val="none" w:sz="0" w:space="0" w:color="auto"/>
        <w:right w:val="none" w:sz="0" w:space="0" w:color="auto"/>
      </w:divBdr>
    </w:div>
    <w:div w:id="1941446161">
      <w:bodyDiv w:val="1"/>
      <w:marLeft w:val="0"/>
      <w:marRight w:val="0"/>
      <w:marTop w:val="0"/>
      <w:marBottom w:val="0"/>
      <w:divBdr>
        <w:top w:val="none" w:sz="0" w:space="0" w:color="auto"/>
        <w:left w:val="none" w:sz="0" w:space="0" w:color="auto"/>
        <w:bottom w:val="none" w:sz="0" w:space="0" w:color="auto"/>
        <w:right w:val="none" w:sz="0" w:space="0" w:color="auto"/>
      </w:divBdr>
      <w:divsChild>
        <w:div w:id="1599631654">
          <w:marLeft w:val="0"/>
          <w:marRight w:val="108"/>
          <w:marTop w:val="18"/>
          <w:marBottom w:val="108"/>
          <w:divBdr>
            <w:top w:val="none" w:sz="0" w:space="0" w:color="auto"/>
            <w:left w:val="none" w:sz="0" w:space="0" w:color="auto"/>
            <w:bottom w:val="none" w:sz="0" w:space="0" w:color="auto"/>
            <w:right w:val="none" w:sz="0" w:space="0" w:color="auto"/>
          </w:divBdr>
          <w:divsChild>
            <w:div w:id="79103783">
              <w:marLeft w:val="0"/>
              <w:marRight w:val="0"/>
              <w:marTop w:val="0"/>
              <w:marBottom w:val="0"/>
              <w:divBdr>
                <w:top w:val="none" w:sz="0" w:space="0" w:color="auto"/>
                <w:left w:val="none" w:sz="0" w:space="0" w:color="auto"/>
                <w:bottom w:val="none" w:sz="0" w:space="0" w:color="auto"/>
                <w:right w:val="none" w:sz="0" w:space="0" w:color="auto"/>
              </w:divBdr>
              <w:divsChild>
                <w:div w:id="1148400003">
                  <w:marLeft w:val="0"/>
                  <w:marRight w:val="0"/>
                  <w:marTop w:val="0"/>
                  <w:marBottom w:val="0"/>
                  <w:divBdr>
                    <w:top w:val="none" w:sz="0" w:space="0" w:color="auto"/>
                    <w:left w:val="none" w:sz="0" w:space="0" w:color="auto"/>
                    <w:bottom w:val="none" w:sz="0" w:space="0" w:color="auto"/>
                    <w:right w:val="none" w:sz="0" w:space="0" w:color="auto"/>
                  </w:divBdr>
                  <w:divsChild>
                    <w:div w:id="813715102">
                      <w:marLeft w:val="0"/>
                      <w:marRight w:val="0"/>
                      <w:marTop w:val="0"/>
                      <w:marBottom w:val="0"/>
                      <w:divBdr>
                        <w:top w:val="none" w:sz="0" w:space="0" w:color="auto"/>
                        <w:left w:val="none" w:sz="0" w:space="0" w:color="auto"/>
                        <w:bottom w:val="none" w:sz="0" w:space="0" w:color="auto"/>
                        <w:right w:val="none" w:sz="0" w:space="0" w:color="auto"/>
                      </w:divBdr>
                      <w:divsChild>
                        <w:div w:id="1375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9178">
      <w:bodyDiv w:val="1"/>
      <w:marLeft w:val="0"/>
      <w:marRight w:val="0"/>
      <w:marTop w:val="0"/>
      <w:marBottom w:val="0"/>
      <w:divBdr>
        <w:top w:val="none" w:sz="0" w:space="0" w:color="auto"/>
        <w:left w:val="none" w:sz="0" w:space="0" w:color="auto"/>
        <w:bottom w:val="none" w:sz="0" w:space="0" w:color="auto"/>
        <w:right w:val="none" w:sz="0" w:space="0" w:color="auto"/>
      </w:divBdr>
    </w:div>
    <w:div w:id="21357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Tănase Tasențe</dc:creator>
  <cp:keywords/>
  <dc:description/>
  <cp:lastModifiedBy>Tănase Tasențe</cp:lastModifiedBy>
  <cp:revision>5</cp:revision>
  <dcterms:created xsi:type="dcterms:W3CDTF">2023-04-21T16:05:00Z</dcterms:created>
  <dcterms:modified xsi:type="dcterms:W3CDTF">2023-04-21T20:17:00Z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id="Zd2gWSPm"/&gt;&lt;style id="http://www.zotero.org/styles/apa" locale="en-US" hasBibliography="1" bibliographyStyleHasBeenSet="1"/&gt;&lt;prefs&gt;&lt;pref name="fieldType" value="Field"/&gt;&lt;/prefs&gt;&lt;/data&gt;</vt:lpwstr>
  </property>
</Properties>
</file>