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E627" w14:textId="4FB5C3DA" w:rsidR="00B97DFF" w:rsidRPr="00B97DFF" w:rsidRDefault="00B97DFF" w:rsidP="00B97DFF">
      <w:pPr>
        <w:jc w:val="center"/>
        <w:rPr>
          <w:rFonts w:ascii="Times New Roman" w:hAnsi="Times New Roman" w:cs="Times New Roman"/>
          <w:b/>
          <w:bCs/>
          <w:sz w:val="32"/>
          <w:szCs w:val="32"/>
        </w:rPr>
      </w:pPr>
      <w:r w:rsidRPr="00B97DFF">
        <w:rPr>
          <w:rFonts w:ascii="Times New Roman" w:hAnsi="Times New Roman" w:cs="Times New Roman"/>
          <w:b/>
          <w:bCs/>
          <w:sz w:val="32"/>
          <w:szCs w:val="32"/>
        </w:rPr>
        <w:t>From Likes to Change: Assessing the Impact of Citizen Engagement on the European Commission's Social Media Platforms</w:t>
      </w:r>
    </w:p>
    <w:p w14:paraId="3315C2D7" w14:textId="77777777" w:rsidR="00B97DFF" w:rsidRDefault="00B97DFF" w:rsidP="00B97DFF">
      <w:pPr>
        <w:jc w:val="center"/>
        <w:rPr>
          <w:rFonts w:ascii="Times New Roman" w:hAnsi="Times New Roman" w:cs="Times New Roman"/>
          <w:b/>
          <w:bCs/>
          <w:sz w:val="24"/>
          <w:szCs w:val="24"/>
        </w:rPr>
      </w:pPr>
    </w:p>
    <w:p w14:paraId="337FA341" w14:textId="77777777" w:rsidR="00975976" w:rsidRDefault="00975976" w:rsidP="00975976">
      <w:pPr>
        <w:jc w:val="center"/>
        <w:rPr>
          <w:rFonts w:ascii="Times New Roman" w:hAnsi="Times New Roman" w:cs="Times New Roman"/>
          <w:sz w:val="24"/>
          <w:szCs w:val="24"/>
          <w:lang w:val="ro-RO"/>
        </w:rPr>
      </w:pPr>
      <w:r>
        <w:rPr>
          <w:rFonts w:ascii="Times New Roman" w:hAnsi="Times New Roman" w:cs="Times New Roman"/>
          <w:sz w:val="24"/>
          <w:szCs w:val="24"/>
        </w:rPr>
        <w:t>T</w:t>
      </w:r>
      <w:r>
        <w:rPr>
          <w:rFonts w:ascii="Times New Roman" w:hAnsi="Times New Roman" w:cs="Times New Roman"/>
          <w:sz w:val="24"/>
          <w:szCs w:val="24"/>
          <w:lang w:val="ro-RO"/>
        </w:rPr>
        <w:t>ănase Tasențe</w:t>
      </w:r>
    </w:p>
    <w:p w14:paraId="16965DE2" w14:textId="72A1B443" w:rsidR="00B97DFF" w:rsidRDefault="00B97DFF" w:rsidP="00B97DFF">
      <w:pPr>
        <w:jc w:val="center"/>
        <w:rPr>
          <w:rFonts w:ascii="Times New Roman" w:hAnsi="Times New Roman" w:cs="Times New Roman"/>
          <w:sz w:val="24"/>
          <w:szCs w:val="24"/>
        </w:rPr>
      </w:pPr>
      <w:r>
        <w:rPr>
          <w:rFonts w:ascii="Times New Roman" w:hAnsi="Times New Roman" w:cs="Times New Roman"/>
          <w:sz w:val="24"/>
          <w:szCs w:val="24"/>
        </w:rPr>
        <w:t>Cristian Opariuc-Dan</w:t>
      </w:r>
    </w:p>
    <w:p w14:paraId="3AB7C695" w14:textId="77777777" w:rsidR="00B97DFF" w:rsidRDefault="00B97DFF" w:rsidP="00B97DFF">
      <w:pPr>
        <w:jc w:val="center"/>
        <w:rPr>
          <w:rFonts w:ascii="Times New Roman" w:hAnsi="Times New Roman" w:cs="Times New Roman"/>
          <w:sz w:val="24"/>
          <w:szCs w:val="24"/>
          <w:lang w:val="ro-RO"/>
        </w:rPr>
      </w:pPr>
    </w:p>
    <w:p w14:paraId="2EDE04C3" w14:textId="107AF316" w:rsidR="00B97DFF" w:rsidRPr="00B97DFF" w:rsidRDefault="00B97DFF" w:rsidP="00B97DFF">
      <w:pPr>
        <w:jc w:val="center"/>
        <w:rPr>
          <w:rFonts w:ascii="Times New Roman" w:hAnsi="Times New Roman" w:cs="Times New Roman"/>
          <w:i/>
          <w:iCs/>
          <w:sz w:val="24"/>
          <w:szCs w:val="24"/>
          <w:lang w:val="ro-RO"/>
        </w:rPr>
      </w:pPr>
      <w:r w:rsidRPr="00B97DFF">
        <w:rPr>
          <w:rFonts w:ascii="Times New Roman" w:hAnsi="Times New Roman" w:cs="Times New Roman"/>
          <w:i/>
          <w:iCs/>
          <w:sz w:val="24"/>
          <w:szCs w:val="24"/>
          <w:lang w:val="ro-RO"/>
        </w:rPr>
        <w:t>Faculty of Law and Administrative Sciences, Ovidius University of Constanța, Romania</w:t>
      </w:r>
    </w:p>
    <w:p w14:paraId="31D39D91" w14:textId="77777777" w:rsidR="00B97DFF" w:rsidRDefault="00B97DFF" w:rsidP="00585DF7">
      <w:pPr>
        <w:rPr>
          <w:rFonts w:ascii="Times New Roman" w:hAnsi="Times New Roman" w:cs="Times New Roman"/>
          <w:b/>
          <w:bCs/>
          <w:sz w:val="24"/>
          <w:szCs w:val="24"/>
        </w:rPr>
      </w:pPr>
    </w:p>
    <w:p w14:paraId="0654BBF9" w14:textId="09342DF4" w:rsidR="00FD4E60" w:rsidRDefault="00FD4E60" w:rsidP="00585DF7">
      <w:pPr>
        <w:rPr>
          <w:rFonts w:ascii="Times New Roman" w:hAnsi="Times New Roman" w:cs="Times New Roman"/>
          <w:b/>
          <w:bCs/>
          <w:sz w:val="24"/>
          <w:szCs w:val="24"/>
        </w:rPr>
      </w:pPr>
      <w:r>
        <w:rPr>
          <w:rFonts w:ascii="Times New Roman" w:hAnsi="Times New Roman" w:cs="Times New Roman"/>
          <w:b/>
          <w:bCs/>
          <w:sz w:val="24"/>
          <w:szCs w:val="24"/>
        </w:rPr>
        <w:t>Introduction</w:t>
      </w:r>
    </w:p>
    <w:p w14:paraId="0E9E6485" w14:textId="77777777"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In recent years, the rise of social media platforms has led to significant changes in the way institutions, including public organizations, communicate with their audiences. As a result, the importance of citizen engagement in the process of communication through social media has become increasingly recognized. This engagement involves not only a one-way flow of information from public institutions to citizens, but also an interactive dialogue between the two parties.</w:t>
      </w:r>
    </w:p>
    <w:p w14:paraId="6D830154" w14:textId="07A49C2D"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 xml:space="preserve">The concept of engagement in social media has been studied extensively in recent years, with researchers exploring various aspects of this phenomenon. One such study, conducted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{"citationID":"uUrnPttY","properties":{"formattedCitation":"(Dolan et al., 2016)","plainCitation":"(Dolan et al., 2016)","noteIndex":0},"citationItems":[{"id":1735,"uris":["http://zotero.org/users/8951094/items/XUDLEKHK"],"itemData":{"id":1735,"type":"article-journal","container-title":"Journal of strategic marketing","issue":"3-4","note":"publisher: Taylor &amp; Francis","page":"261–277","source":"Google Scholar","title":"Social media engagement behaviour: A uses and gratifications perspective","title-short":"Social media engagement behaviour","volume":"24","author":[{"family":"Dolan","given":"Rebecca"},{"family":"Conduit","given":"Jodie"},{"family":"Fahy","given":"John"},{"family":"Goodman","given":"Steve"}],"issued":{"date-parts":[["2016"]]},"citation-key":"dolanSocialMediaEngagement2016"}}],"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Dolan et al. </w:t>
      </w:r>
      <w:r>
        <w:rPr>
          <w:rFonts w:ascii="Times New Roman" w:hAnsi="Times New Roman" w:cs="Times New Roman"/>
          <w:sz w:val="24"/>
        </w:rPr>
        <w:t>(</w:t>
      </w:r>
      <w:r w:rsidRPr="00FD4E60">
        <w:rPr>
          <w:rFonts w:ascii="Times New Roman" w:hAnsi="Times New Roman" w:cs="Times New Roman"/>
          <w:sz w:val="24"/>
        </w:rPr>
        <w:t>2016)</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approached social media engagement behavior from a uses and gratifications perspective, focusing on the motivations and benefits that users derive from engaging with social media. Meanwhile, the study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{"citationID":"xDzYU4PD","properties":{"formattedCitation":"(Dragseth, 2020)","plainCitation":"(Dragseth, 2020)","noteIndex":0},"citationItems":[{"id":1700,"uris":["http://zotero.org/users/8951094/items/RQ87DQW5"],"itemData":{"id":1700,"type":"article-journal","container-title":"Journal of Political Science Education","issue":"2","note":"publisher: Taylor &amp; Francis","page":"243–256","source":"Google Scholar","title":"Building student engagement through social media","volume":"16","author":[{"family":"Dragseth","given":"Meghann R."}],"issued":{"date-parts":[["2020"]]},"citation-key":"dragsethBuildingStudentEngagement2020"}}],"schema":"https://github.com/citation-style-language/schema/raw/master/csl-citation.json"}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Dragseth </w:t>
      </w:r>
      <w:r>
        <w:rPr>
          <w:rFonts w:ascii="Times New Roman" w:hAnsi="Times New Roman" w:cs="Times New Roman"/>
          <w:sz w:val="24"/>
        </w:rPr>
        <w:t>(</w:t>
      </w:r>
      <w:r w:rsidRPr="00FD4E60">
        <w:rPr>
          <w:rFonts w:ascii="Times New Roman" w:hAnsi="Times New Roman" w:cs="Times New Roman"/>
          <w:sz w:val="24"/>
        </w:rPr>
        <w:t>2020)</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explored how social media can be used to build engagement among students in the context of political science education.</w:t>
      </w:r>
    </w:p>
    <w:p w14:paraId="55D6EA80" w14:textId="2998BC92"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 xml:space="preserve">Another important aspect of engagement in social media is the role it plays in activation campaigns aimed at consumers.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{"citationID":"2rYN9gMC","properties":{"formattedCitation":"(Mirbagheri &amp; Najmi, 2019)","plainCitation":"(Mirbagheri &amp; Najmi, 2019)","noteIndex":0},"citationItems":[{"id":1738,"uris":["http://zotero.org/users/8951094/items/354PDJV3"],"itemData":{"id":1738,"type":"article-journal","container-title":"Psychology &amp; marketing","issue":"4","note":"publisher: Wiley Online Library","page":"376–394","source":"Google Scholar","title":"Consumers' engagement with social media activation campaigns: Construct conceptualization and scale development","title-short":"Consumers' engagement with social media activation campaigns","volume":"36","author":[{"family":"Mirbagheri","given":"SeyedAlireza"},{"family":"Najmi","given":"Manoochehr"}],"issued":{"date-parts":[["2019"]]},"citation-key":"mirbagheriConsumersEngagementSocial2019"}}],"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Mirbagheri &amp; Najmi </w:t>
      </w:r>
      <w:r>
        <w:rPr>
          <w:rFonts w:ascii="Times New Roman" w:hAnsi="Times New Roman" w:cs="Times New Roman"/>
          <w:sz w:val="24"/>
        </w:rPr>
        <w:t>(</w:t>
      </w:r>
      <w:r w:rsidRPr="00FD4E60">
        <w:rPr>
          <w:rFonts w:ascii="Times New Roman" w:hAnsi="Times New Roman" w:cs="Times New Roman"/>
          <w:sz w:val="24"/>
        </w:rPr>
        <w:t>2019)</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conceptualized and developed a scale to measure consumers' engagement with social media activation campaigns. Additionally,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{"citationID":"9yQj5RXx","properties":{"formattedCitation":"(Smith &amp; Gallicano, 2015)","plainCitation":"(Smith &amp; Gallicano, 2015)","noteIndex":0},"citationItems":[{"id":1736,"uris":["http://zotero.org/users/8951094/items/EF2VAA92"],"itemData":{"id":1736,"type":"article-journal","container-title":"Computers in human Behavior","note":"publisher: Elsevier","page":"82–90","source":"Google Scholar","title":"Terms of engagement: Analyzing public engagement with organizations through social media","title-short":"Terms of engagement","volume":"53","author":[{"family":"Smith","given":"Brian G."},{"family":"Gallicano","given":"Tiffany Derville"}],"issued":{"date-parts":[["2015"]]},"citation-key":"smithTermsEngagementAnalyzing2015"}}],"schema":"https://github.com/citation-style-language/schema/raw/master/csl-citation.json"}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 xml:space="preserve">Smith &amp; Gallicano </w:t>
      </w:r>
      <w:r>
        <w:rPr>
          <w:rFonts w:ascii="Times New Roman" w:hAnsi="Times New Roman" w:cs="Times New Roman"/>
          <w:sz w:val="24"/>
        </w:rPr>
        <w:t>(</w:t>
      </w:r>
      <w:r w:rsidRPr="00FD4E60">
        <w:rPr>
          <w:rFonts w:ascii="Times New Roman" w:hAnsi="Times New Roman" w:cs="Times New Roman"/>
          <w:sz w:val="24"/>
        </w:rPr>
        <w:t>2015)</w:t>
      </w:r>
      <w:r>
        <w:rPr>
          <w:rFonts w:ascii="Times New Roman" w:hAnsi="Times New Roman" w:cs="Times New Roman"/>
          <w:sz w:val="24"/>
          <w:szCs w:val="24"/>
        </w:rPr>
        <w:fldChar w:fldCharType="end"/>
      </w:r>
      <w:r w:rsidRPr="00FD4E60">
        <w:rPr>
          <w:rFonts w:ascii="Times New Roman" w:hAnsi="Times New Roman" w:cs="Times New Roman"/>
          <w:sz w:val="24"/>
          <w:szCs w:val="24"/>
        </w:rPr>
        <w:t xml:space="preserve"> analyzed public engagement with organizations through social media, highlighting the importance of two-way communication between public institutions and citizens.</w:t>
      </w:r>
    </w:p>
    <w:p w14:paraId="30EF1B6D" w14:textId="14B0F8C1"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 xml:space="preserve">The differentiating role of platform type in engagement with social media and social media advertising was explored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{"citationID":"cKoWwqhj","properties":{"formattedCitation":"(Voorveld et al., 2018)","plainCitation":"(Voorveld et al., 2018)","noteIndex":0},"citationItems":[{"id":1737,"uris":["http://zotero.org/users/8951094/items/RBI34AHX"],"itemData":{"id":1737,"type":"article-journal","container-title":"Journal of advertising","issue":"1","note":"publisher: Taylor &amp; Francis","page":"38–54","source":"Google Scholar","title":"Engagement with social media and social media advertising: The differentiating role of platform type","title-short":"Engagement with social media and social media advertising","volume":"47","author":[{"family":"Voorveld","given":"Hilde AM"},{"family":"Van Noort","given":"Guda"},{"family":"Muntinga","given":"Daniël G."},{"family":"Bronner","given":"Fred"}],"issued":{"date-parts":[["2018"]]},"citation-key":"voorveldEngagementSocialMedia2018"}}],"schema":"https://github.com/citation-style-language/schema/raw/master/csl-citation.json"} </w:instrText>
      </w:r>
      <w:r>
        <w:rPr>
          <w:rFonts w:ascii="Times New Roman" w:hAnsi="Times New Roman" w:cs="Times New Roman"/>
          <w:sz w:val="24"/>
          <w:szCs w:val="24"/>
        </w:rPr>
        <w:fldChar w:fldCharType="separate"/>
      </w:r>
      <w:r w:rsidRPr="00FD4E60">
        <w:rPr>
          <w:rFonts w:ascii="Times New Roman" w:hAnsi="Times New Roman" w:cs="Times New Roman"/>
          <w:sz w:val="24"/>
        </w:rPr>
        <w:t>Voorveld et al.</w:t>
      </w:r>
      <w:r>
        <w:rPr>
          <w:rFonts w:ascii="Times New Roman" w:hAnsi="Times New Roman" w:cs="Times New Roman"/>
          <w:sz w:val="24"/>
        </w:rPr>
        <w:t xml:space="preserve"> (</w:t>
      </w:r>
      <w:r w:rsidRPr="00FD4E60">
        <w:rPr>
          <w:rFonts w:ascii="Times New Roman" w:hAnsi="Times New Roman" w:cs="Times New Roman"/>
          <w:sz w:val="24"/>
        </w:rPr>
        <w:t>2018)</w:t>
      </w:r>
      <w:r>
        <w:rPr>
          <w:rFonts w:ascii="Times New Roman" w:hAnsi="Times New Roman" w:cs="Times New Roman"/>
          <w:sz w:val="24"/>
          <w:szCs w:val="24"/>
        </w:rPr>
        <w:fldChar w:fldCharType="end"/>
      </w:r>
      <w:r w:rsidRPr="00FD4E60">
        <w:rPr>
          <w:rFonts w:ascii="Times New Roman" w:hAnsi="Times New Roman" w:cs="Times New Roman"/>
          <w:sz w:val="24"/>
          <w:szCs w:val="24"/>
        </w:rPr>
        <w:t>, who found that the level of engagement varies across different social media platforms.</w:t>
      </w:r>
    </w:p>
    <w:p w14:paraId="5FFBDFCA" w14:textId="77777777"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In addition to understanding the various aspects of engagement in social media, it is also important to recognize the significance of citizen engagement in the context of public institutions. Citizen engagement plays a critical role in ensuring transparency and accountability in public decision-making processes. Furthermore, engagement with citizens can lead to the development of more effective policies and programs that better serve the needs of the community.</w:t>
      </w:r>
    </w:p>
    <w:p w14:paraId="5CC53541" w14:textId="22602A2A" w:rsidR="00FD4E60" w:rsidRDefault="00FD4E60" w:rsidP="00FD4E60">
      <w:pPr>
        <w:rPr>
          <w:rFonts w:ascii="Times New Roman" w:hAnsi="Times New Roman" w:cs="Times New Roman"/>
          <w:sz w:val="24"/>
          <w:szCs w:val="24"/>
        </w:rPr>
      </w:pPr>
      <w:r>
        <w:rPr>
          <w:rFonts w:ascii="Times New Roman" w:hAnsi="Times New Roman" w:cs="Times New Roman"/>
          <w:sz w:val="24"/>
          <w:szCs w:val="24"/>
        </w:rPr>
        <w:t>Moreover, t</w:t>
      </w:r>
      <w:r w:rsidRPr="00FD4E60">
        <w:rPr>
          <w:rFonts w:ascii="Times New Roman" w:hAnsi="Times New Roman" w:cs="Times New Roman"/>
          <w:sz w:val="24"/>
          <w:szCs w:val="24"/>
        </w:rPr>
        <w:t>he importance of citizen engagement in the process of communication through social media cannot be overstated. Through social media, public institutions can engage in an interactive dialogue with citizens, build trust, and develop more effective policies and programs. As such, further research, and exploration of the concept of engagement in social media is critical for ensuring that public institutions continue to effectively communicate with and serve the needs of their communities.</w:t>
      </w:r>
    </w:p>
    <w:p w14:paraId="5DE0B07E" w14:textId="662B4EFF" w:rsidR="00FD4E60" w:rsidRPr="00FD4E60" w:rsidRDefault="00FD4E60" w:rsidP="00FD4E60">
      <w:pPr>
        <w:rPr>
          <w:rFonts w:ascii="Times New Roman" w:hAnsi="Times New Roman" w:cs="Times New Roman"/>
          <w:sz w:val="24"/>
          <w:szCs w:val="24"/>
        </w:rPr>
      </w:pPr>
      <w:r>
        <w:rPr>
          <w:rFonts w:ascii="Times New Roman" w:hAnsi="Times New Roman" w:cs="Times New Roman"/>
          <w:sz w:val="24"/>
          <w:szCs w:val="24"/>
        </w:rPr>
        <w:t>C</w:t>
      </w:r>
      <w:r w:rsidRPr="00FD4E60">
        <w:rPr>
          <w:rFonts w:ascii="Times New Roman" w:hAnsi="Times New Roman" w:cs="Times New Roman"/>
          <w:sz w:val="24"/>
          <w:szCs w:val="24"/>
        </w:rPr>
        <w:t xml:space="preserve">itizen engagement through social media can also contribute to the empowerment of individuals and groups, giving them a voice in public decision-making processes and enabling them </w:t>
      </w:r>
      <w:r w:rsidRPr="00FD4E60">
        <w:rPr>
          <w:rFonts w:ascii="Times New Roman" w:hAnsi="Times New Roman" w:cs="Times New Roman"/>
          <w:sz w:val="24"/>
          <w:szCs w:val="24"/>
        </w:rPr>
        <w:lastRenderedPageBreak/>
        <w:t>to hold public institutions accountable for their actions. This can help to build stronger, more resilient communities that are better equipped to respond to challenges and opportunities.</w:t>
      </w:r>
    </w:p>
    <w:p w14:paraId="16E9481E" w14:textId="77777777" w:rsidR="00FD4E60" w:rsidRPr="00FD4E60" w:rsidRDefault="00FD4E60" w:rsidP="00FD4E60">
      <w:pPr>
        <w:rPr>
          <w:rFonts w:ascii="Times New Roman" w:hAnsi="Times New Roman" w:cs="Times New Roman"/>
          <w:sz w:val="24"/>
          <w:szCs w:val="24"/>
        </w:rPr>
      </w:pPr>
      <w:r w:rsidRPr="00FD4E60">
        <w:rPr>
          <w:rFonts w:ascii="Times New Roman" w:hAnsi="Times New Roman" w:cs="Times New Roman"/>
          <w:sz w:val="24"/>
          <w:szCs w:val="24"/>
        </w:rPr>
        <w:t>It is also important to note that while social media has the potential to be a powerful tool for citizen engagement, there are also challenges and risks associated with its use. These include issues related to privacy, security, and the spread of misinformation and disinformation. As such, public institutions must be mindful of these risks and take steps to mitigate them, while also leveraging the power of social media to engage with citizens in a meaningful way.</w:t>
      </w:r>
    </w:p>
    <w:p w14:paraId="178803FA" w14:textId="45D4EA89" w:rsidR="00FD4E60" w:rsidRPr="00FD4E60" w:rsidRDefault="00FD4E60" w:rsidP="00FD4E60">
      <w:pPr>
        <w:rPr>
          <w:rFonts w:ascii="Times New Roman" w:hAnsi="Times New Roman" w:cs="Times New Roman"/>
          <w:sz w:val="24"/>
          <w:szCs w:val="24"/>
        </w:rPr>
      </w:pPr>
      <w:r>
        <w:rPr>
          <w:rFonts w:ascii="Times New Roman" w:hAnsi="Times New Roman" w:cs="Times New Roman"/>
          <w:sz w:val="24"/>
          <w:szCs w:val="24"/>
        </w:rPr>
        <w:t>Overall</w:t>
      </w:r>
      <w:r w:rsidRPr="00FD4E60">
        <w:rPr>
          <w:rFonts w:ascii="Times New Roman" w:hAnsi="Times New Roman" w:cs="Times New Roman"/>
          <w:sz w:val="24"/>
          <w:szCs w:val="24"/>
        </w:rPr>
        <w:t>, the rise of social media has transformed the way public institutions communicate with citizens, placing a greater emphasis on engagement and two-way communication. Understanding the various aspects of engagement in social media is critical for public institutions to effectively communicate with and serve the needs of their communities. By leveraging the power of social media to engage with citizens, public institutions can build trust, empower individuals and groups, and develop more effective policies and programs that better serve the needs of the community.</w:t>
      </w:r>
    </w:p>
    <w:p w14:paraId="76C4F113" w14:textId="77777777" w:rsidR="00FD4E60" w:rsidRDefault="00FD4E60" w:rsidP="00585DF7">
      <w:pPr>
        <w:rPr>
          <w:rFonts w:ascii="Times New Roman" w:hAnsi="Times New Roman" w:cs="Times New Roman"/>
          <w:b/>
          <w:bCs/>
          <w:sz w:val="24"/>
          <w:szCs w:val="24"/>
        </w:rPr>
      </w:pPr>
    </w:p>
    <w:p w14:paraId="3DD3B81A" w14:textId="7D46205E" w:rsidR="00585DF7" w:rsidRPr="00686F1D" w:rsidRDefault="00585DF7" w:rsidP="00585DF7">
      <w:pPr>
        <w:rPr>
          <w:rFonts w:ascii="Times New Roman" w:hAnsi="Times New Roman" w:cs="Times New Roman"/>
          <w:b/>
          <w:bCs/>
          <w:sz w:val="24"/>
          <w:szCs w:val="24"/>
        </w:rPr>
      </w:pPr>
      <w:r w:rsidRPr="00686F1D">
        <w:rPr>
          <w:rFonts w:ascii="Times New Roman" w:hAnsi="Times New Roman" w:cs="Times New Roman"/>
          <w:b/>
          <w:bCs/>
          <w:sz w:val="24"/>
          <w:szCs w:val="24"/>
        </w:rPr>
        <w:t>Literature review</w:t>
      </w:r>
    </w:p>
    <w:p w14:paraId="09E0CCA5" w14:textId="77777777" w:rsidR="00686F1D" w:rsidRPr="00686F1D" w:rsidRDefault="00686F1D" w:rsidP="00686F1D">
      <w:pPr>
        <w:rPr>
          <w:rFonts w:ascii="Times New Roman" w:hAnsi="Times New Roman" w:cs="Times New Roman"/>
          <w:sz w:val="24"/>
          <w:szCs w:val="24"/>
        </w:rPr>
      </w:pPr>
      <w:r w:rsidRPr="00686F1D">
        <w:rPr>
          <w:rFonts w:ascii="Times New Roman" w:hAnsi="Times New Roman" w:cs="Times New Roman"/>
          <w:sz w:val="24"/>
          <w:szCs w:val="24"/>
        </w:rPr>
        <w:t>In the past few years, social media has risen to become a significant means of communication between public institutions and citizens. This has paved the way for increased citizen engagement in the decision-making process, which is considered essential for fostering trust and enhancing accountability. This literature review delves into the significance of citizen involvement in the communication process of public institutions via social media. It does so by amalgamating and synthesizing the findings of diverse studies, each focusing on various facets of social media and citizen engagement within the European Union.</w:t>
      </w:r>
    </w:p>
    <w:p w14:paraId="7186E4F9" w14:textId="7184548A" w:rsidR="00686F1D" w:rsidRPr="00686F1D" w:rsidRDefault="00686F1D" w:rsidP="00686F1D">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{"citationID":"p5GigAnV","properties":{"formattedCitation":"(Bene et al., 2022)","plainCitation":"(Bene et al., 2022)","noteIndex":0},"citationItems":[{"id":1696,"uris":["http://zotero.org/users/8951094/items/7LJM8GLP"],"itemData":{"id":1696,"type":"article-journal","container-title":"Political Communication","issue":"4","note":"publisher: Taylor &amp; Francis","page":"429–453","source":"Google Scholar","title":"Keep them engaged! Investigating the effects of self-centered social media communication style on user engagement in 12 European countries","volume":"39","author":[{"family":"Bene","given":"Márton"},{"family":"Ceron","given":"Andrea"},{"family":"Fenoll","given":"Vicente"},{"family":"Haßler","given":"Jörg"},{"family":"Kruschinski","given":"Simon"},{"family":"Larsson","given":"Anders Olof"},{"family":"Magin","given":"Melanie"},{"family":"Schlosser","given":"Katharina"},{"family":"Wurst","given":"Anna-Katharina"}],"issued":{"date-parts":[["2022"]]},"citation-key":"beneKeepThemEngaged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Bene et al.</w:t>
      </w:r>
      <w:r>
        <w:rPr>
          <w:rFonts w:ascii="Times New Roman" w:hAnsi="Times New Roman" w:cs="Times New Roman"/>
          <w:sz w:val="24"/>
        </w:rPr>
        <w:t xml:space="preserve"> (</w:t>
      </w:r>
      <w:r w:rsidRPr="00686F1D">
        <w:rPr>
          <w:rFonts w:ascii="Times New Roman" w:hAnsi="Times New Roman" w:cs="Times New Roman"/>
          <w:sz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conducted a study exploring the impacts of self-centered social media communication styles on user engagement across 12 European nations. Their findings revealed that social media communication emphasizing user participation and fostering feedback effectively boosts user engagement. Social media users who feel they have a say in the decision-making process are more inclined to engage and participate in conversations.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{"citationID":"Jih8QsH1","properties":{"formattedCitation":"(De Wilde et al., 2022)","plainCitation":"(De Wilde et al., 2022)","noteIndex":0},"citationItems":[{"id":1689,"uris":["http://zotero.org/users/8951094/items/IY49DJRI"],"itemData":{"id":1689,"type":"article-journal","container-title":"Politics and Governance","issue":"1","page":"90–96","source":"Google Scholar","title":"Analyzing citizen engagement with European politics on social media","volume":"10","author":[{"family":"De Wilde","given":"Pieter"},{"family":"Rasch","given":"Astrid"},{"family":"Bossetta","given":"Michael"}],"issued":{"date-parts":[["2022"]]},"citation-key":"dewildeAnalyzingCitizenEngagement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De Wilde et al.</w:t>
      </w:r>
      <w:r>
        <w:rPr>
          <w:rFonts w:ascii="Times New Roman" w:hAnsi="Times New Roman" w:cs="Times New Roman"/>
          <w:sz w:val="24"/>
        </w:rPr>
        <w:t xml:space="preserve"> (</w:t>
      </w:r>
      <w:r w:rsidRPr="00686F1D">
        <w:rPr>
          <w:rFonts w:ascii="Times New Roman" w:hAnsi="Times New Roman" w:cs="Times New Roman"/>
          <w:sz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examined citizen engagement with European politics on social media platforms and discovered that social media holds the potential to increase citizen involvement and participation in the political sphere. They found that social media offers citizens a platform to express their opinions, partake in discussions, and influence policy-making decisions. In a similar vein,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{"citationID":"9WmIqsnb","properties":{"formattedCitation":"(Bankston, 2021)","plainCitation":"(Bankston, 2021)","noteIndex":0},"citationItems":[{"id":1695,"uris":["http://zotero.org/users/8951094/items/ULIIRDWB"],"itemData":{"id":1695,"type":"chapter","container-title":"Digital Identity, Virtual Borders and Social Media","page":"73–97","publisher":"Edward Elgar Publishing","source":"Google Scholar","title":"Migration and smuggling across virtual borders: A European Union case study of internet governance and immigration politics","title-short":"Migration and smuggling across virtual borders","author":[{"family":"Bankston","given":"Johanna"}],"issued":{"date-parts":[["2021"]]},"citation-key":"bankstonMigrationSmugglingVirtual2021"}}],"schema":"https://github.com/citation-style-language/schema/raw/master/csl-citation.json"}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 xml:space="preserve">Bankston </w:t>
      </w:r>
      <w:r>
        <w:rPr>
          <w:rFonts w:ascii="Times New Roman" w:hAnsi="Times New Roman" w:cs="Times New Roman"/>
          <w:sz w:val="24"/>
        </w:rPr>
        <w:t>(</w:t>
      </w:r>
      <w:r w:rsidRPr="00686F1D">
        <w:rPr>
          <w:rFonts w:ascii="Times New Roman" w:hAnsi="Times New Roman" w:cs="Times New Roman"/>
          <w:sz w:val="24"/>
        </w:rPr>
        <w:t>2021)</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investigated the role of social media in migration and smuggling across the European Union's virtual borders. This study concluded that social media platforms offer citizens opportunities to engage in dialogues and share their perspectives on immigration policies.</w:t>
      </w:r>
    </w:p>
    <w:p w14:paraId="46AA5A40" w14:textId="0404F9FB" w:rsidR="00686F1D" w:rsidRPr="00686F1D" w:rsidRDefault="00686F1D" w:rsidP="00686F1D">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{"citationID":"60dKlSTq","properties":{"formattedCitation":"(Cinelli et al., 2022)","plainCitation":"(Cinelli et al., 2022)","noteIndex":0},"citationItems":[{"id":1690,"uris":["http://zotero.org/users/8951094/items/W8FF5DEC"],"itemData":{"id":1690,"type":"article-journal","container-title":"Plos one","issue":"10","note":"publisher: Public Library of Science San Francisco, CA USA","page":"e0275534","source":"Google Scholar","title":"Promoting engagement with quality communication in social media","volume":"17","author":[{"family":"Cinelli","given":"Matteo"},{"family":"Peruzzi","given":"Antonio"},{"family":"Schmidt","given":"Ana Lucía"},{"family":"Villa","given":"Roberta"},{"family":"Costa","given":"Enrico"},{"family":"Quattrociocchi","given":"Walter"},{"family":"Zollo","given":"Fabiana"}],"issued":{"date-parts":[["2022"]]},"citation-key":"cinelliPromotingEngagementQuality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Cinelli et al.</w:t>
      </w:r>
      <w:r>
        <w:rPr>
          <w:rFonts w:ascii="Times New Roman" w:hAnsi="Times New Roman" w:cs="Times New Roman"/>
          <w:sz w:val="24"/>
        </w:rPr>
        <w:t xml:space="preserve"> (</w:t>
      </w:r>
      <w:r w:rsidRPr="00686F1D">
        <w:rPr>
          <w:rFonts w:ascii="Times New Roman" w:hAnsi="Times New Roman" w:cs="Times New Roman"/>
          <w:sz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on the other hand, delved into promoting engagement with quality communication in social media. Their findings indicated that employing persuasive language, evoking emotions, and utilizing framing can enhance user engagement. The study recommends that public institutions implement quality communication techniques to boost citizen engagement and participation in policy-making.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{"citationID":"PNTkOXJ5","properties":{"formattedCitation":"(M\\uc0\\u252{}ller, 2022)","plainCitation":"(Müller, 2022)","noteIndex":0},"citationItems":[{"id":1692,"uris":["http://zotero.org/users/8951094/items/TEHACQAH"],"itemData":{"id":1692,"type":"article-journal","container-title":"Government Information Quarterly","issue":"2","note":"publisher: Elsevier","page":"101682","source":"Google Scholar","title":"Spreading the word? European Union agencies and social media attention","title-short":"Spreading the word?","volume":"39","author":[{"family":"Müller","given":"Moritz"}],"issued":{"date-parts":[["2022"]]},"citation-key":"mullerSpreadingWordEuropean2022"}}],"schema":"https://github.com/citation-style-language/schema/raw/master/csl-citation.json"}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szCs w:val="24"/>
        </w:rPr>
        <w:t>Müller</w:t>
      </w:r>
      <w:r>
        <w:rPr>
          <w:rFonts w:ascii="Times New Roman" w:hAnsi="Times New Roman" w:cs="Times New Roman"/>
          <w:sz w:val="24"/>
          <w:szCs w:val="24"/>
        </w:rPr>
        <w:t xml:space="preserve"> (</w:t>
      </w:r>
      <w:r w:rsidRPr="00686F1D">
        <w:rPr>
          <w:rFonts w:ascii="Times New Roman" w:hAnsi="Times New Roman" w:cs="Times New Roman"/>
          <w:sz w:val="24"/>
          <w:szCs w:val="24"/>
        </w:rPr>
        <w:t>2022)</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analyzed the social media attention garnered by European Union agencies and found a positive correlation between increased attention and higher levels of citizen engagement. This study implies that public institutions can augment citizen </w:t>
      </w:r>
      <w:r w:rsidRPr="00686F1D">
        <w:rPr>
          <w:rFonts w:ascii="Times New Roman" w:hAnsi="Times New Roman" w:cs="Times New Roman"/>
          <w:sz w:val="24"/>
          <w:szCs w:val="24"/>
        </w:rPr>
        <w:lastRenderedPageBreak/>
        <w:t>engagement by effectively utilizing social media to showcase their activities and interact with citizens.</w:t>
      </w:r>
    </w:p>
    <w:p w14:paraId="2B4A30E3" w14:textId="056B104E" w:rsidR="00686F1D" w:rsidRPr="00686F1D" w:rsidRDefault="00686F1D" w:rsidP="00686F1D">
      <w:pPr>
        <w:rPr>
          <w:rFonts w:ascii="Times New Roman" w:hAnsi="Times New Roman" w:cs="Times New Roman"/>
          <w:sz w:val="24"/>
          <w:szCs w:val="24"/>
        </w:rPr>
      </w:pPr>
      <w:r w:rsidRPr="00686F1D">
        <w:rPr>
          <w:rFonts w:ascii="Times New Roman" w:hAnsi="Times New Roman" w:cs="Times New Roman"/>
          <w:sz w:val="24"/>
          <w:szCs w:val="24"/>
        </w:rPr>
        <w:t xml:space="preserve">Additionally,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{"citationID":"bdxZpX2Z","properties":{"formattedCitation":"(Rus et al., 2021)","plainCitation":"(Rus et al., 2021)","noteIndex":0},"citationItems":[{"id":309,"uris":["http://zotero.org/users/8951094/items/GPJ7AERM"],"itemData":{"id":309,"type":"article-journal","container-title":"Technium Social Sciences Journal","journalAbbreviation":"Technium Soc. Sci. J.","page":"119","title":"Social Media Communication of Public Institutions. Case Study: Representation of the European Commission in Romania","title-short":"Social Media Communication of Public Institutions. Case Study","volume":"17","author":[{"family":"Rus","given":"Mihaela"},{"family":"Tasente","given":"Tanase"},{"family":"Camara","given":"Valentina"}],"issued":{"date-parts":[["2021"]]},"citation-key":"rusSocialMediaCommunication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Rus et al.</w:t>
      </w:r>
      <w:r>
        <w:rPr>
          <w:rFonts w:ascii="Times New Roman" w:hAnsi="Times New Roman" w:cs="Times New Roman"/>
          <w:sz w:val="24"/>
        </w:rPr>
        <w:t xml:space="preserve"> (</w:t>
      </w:r>
      <w:r w:rsidRPr="00686F1D">
        <w:rPr>
          <w:rFonts w:ascii="Times New Roman" w:hAnsi="Times New Roman" w:cs="Times New Roman"/>
          <w:sz w:val="24"/>
        </w:rPr>
        <w:t>2021)</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carried out a case study investigating the representation of the European Commission in Romania via social media communication. The study established that social media communication by public institutions can bolster transparency and accountability, consequently leading to heightened citizen engagement.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{"citationID":"t2tImYPo","properties":{"formattedCitation":"(Hancu-Budui et al., 2020)","plainCitation":"(Hancu-Budui et al., 2020)","noteIndex":0},"citationItems":[{"id":1688,"uris":["http://zotero.org/users/8951094/items/L5S7MFCR"],"itemData":{"id":1688,"type":"article-journal","container-title":"Sustainability","issue":"23","note":"publisher: MDPI","page":"9816","source":"Google Scholar","title":"Audit institutions in the European Union: Public service promotion, environmental engagement and Covid crisis communication through social media","title-short":"Audit institutions in the European Union","volume":"12","author":[{"family":"Hancu-Budui","given":"Andreea"},{"family":"Zorio-Grima","given":"Ana"},{"family":"Blanco-Vega","given":"Jose"}],"issued":{"date-parts":[["2020"]]},"citation-key":"hancu-buduiAuditInstitutionsEuropean2020"}}],"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 xml:space="preserve">Hancu-Budui et al. </w:t>
      </w:r>
      <w:r>
        <w:rPr>
          <w:rFonts w:ascii="Times New Roman" w:hAnsi="Times New Roman" w:cs="Times New Roman"/>
          <w:sz w:val="24"/>
        </w:rPr>
        <w:t>(</w:t>
      </w:r>
      <w:r w:rsidRPr="00686F1D">
        <w:rPr>
          <w:rFonts w:ascii="Times New Roman" w:hAnsi="Times New Roman" w:cs="Times New Roman"/>
          <w:sz w:val="24"/>
        </w:rPr>
        <w:t>2020</w:t>
      </w:r>
      <w:r>
        <w:rPr>
          <w:rFonts w:ascii="Times New Roman" w:hAnsi="Times New Roman" w:cs="Times New Roman"/>
          <w:sz w:val="24"/>
          <w:szCs w:val="24"/>
        </w:rPr>
        <w:fldChar w:fldCharType="end"/>
      </w:r>
      <w:r>
        <w:rPr>
          <w:rFonts w:ascii="Times New Roman" w:hAnsi="Times New Roman" w:cs="Times New Roman"/>
          <w:sz w:val="24"/>
          <w:szCs w:val="24"/>
        </w:rPr>
        <w:t>)</w:t>
      </w:r>
      <w:r w:rsidRPr="00686F1D">
        <w:rPr>
          <w:rFonts w:ascii="Times New Roman" w:hAnsi="Times New Roman" w:cs="Times New Roman"/>
          <w:sz w:val="24"/>
          <w:szCs w:val="24"/>
        </w:rPr>
        <w:t xml:space="preserve"> examined the communication strategies employed by audit institutions in the European Union during the Covid-19 crisis. Their findings suggested that social media can serve as a potent tool for promoting public services and encouraging environmental engagement. The study advocates for public institutions to harness social media to showcase their activities and connect with citizens during times of crisis.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{"citationID":"HzxZMzup","properties":{"formattedCitation":"(Kanol &amp; Nat, 2021)","plainCitation":"(Kanol &amp; Nat, 2021)","noteIndex":0},"citationItems":[{"id":1687,"uris":["http://zotero.org/users/8951094/items/I72GEHKS"],"itemData":{"id":1687,"type":"article-journal","container-title":"Journal of Public and Nonprofit Affairs","issue":"2","page":"205–219","source":"Google Scholar","title":"Group type and social media engagement strategies in the EU: the case of British interest groups on Facebook","title-short":"Group type and social media engagement strategies in the EU","volume":"7","author":[{"family":"Kanol","given":"Direnç"},{"family":"Nat","given":"Muesser"}],"issued":{"date-parts":[["2021"]]},"citation-key":"kanolGroupTypeSocial2021"}}],"schema":"https://github.com/citation-style-language/schema/raw/master/csl-citation.json"}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 xml:space="preserve">Kanol &amp; Nat </w:t>
      </w:r>
      <w:r>
        <w:rPr>
          <w:rFonts w:ascii="Times New Roman" w:hAnsi="Times New Roman" w:cs="Times New Roman"/>
          <w:sz w:val="24"/>
        </w:rPr>
        <w:t>(</w:t>
      </w:r>
      <w:r w:rsidRPr="00686F1D">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w:t>
      </w:r>
      <w:r w:rsidRPr="00686F1D">
        <w:rPr>
          <w:rFonts w:ascii="Times New Roman" w:hAnsi="Times New Roman" w:cs="Times New Roman"/>
          <w:sz w:val="24"/>
          <w:szCs w:val="24"/>
        </w:rPr>
        <w:t xml:space="preserve"> scrutinized the social media engagement tactics of British interest groups on Facebook. They found that group type influences social media engagement strategies, with non-profit groups being more inclined to utilize user-generated content and participatory approaches. The study implies that public institutions can adopt lessons from non-profit groups and employ participatory strategies to elevate citizen engagement.</w:t>
      </w:r>
    </w:p>
    <w:p w14:paraId="79C8CE24" w14:textId="600A1617" w:rsidR="00CE7902" w:rsidRDefault="00686F1D" w:rsidP="00686F1D">
      <w:pPr>
        <w:rPr>
          <w:rFonts w:ascii="Times New Roman" w:hAnsi="Times New Roman" w:cs="Times New Roman"/>
          <w:sz w:val="24"/>
          <w:szCs w:val="24"/>
        </w:rPr>
      </w:pPr>
      <w:r w:rsidRPr="00686F1D">
        <w:rPr>
          <w:rFonts w:ascii="Times New Roman" w:hAnsi="Times New Roman" w:cs="Times New Roman"/>
          <w:sz w:val="24"/>
          <w:szCs w:val="24"/>
        </w:rPr>
        <w:t xml:space="preserve">Finally,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{"citationID":"G9hjoosi","properties":{"formattedCitation":"(Wei et al., 2021)","plainCitation":"(Wei et al., 2021)","noteIndex":0},"citationItems":[{"id":1705,"uris":["http://zotero.org/users/8951094/items/TMXPT332"],"itemData":{"id":1705,"type":"article-journal","container-title":"Energy Policy","note":"publisher: Elsevier","page":"112559","source":"Google Scholar","title":"Exploring public opinions on climate change policy in\" Big Data Era\"—A case study of the European Union Emission Trading System (EU-ETS) based on Twitter","volume":"158","author":[{"family":"Wei","given":"Yigang"},{"family":"Gong","given":"Ping"},{"family":"Zhang","given":"Jianhong"},{"family":"Wang","given":"Li"}],"issued":{"date-parts":[["2021"]]},"citation-key":"weiExploringPublicOpinions2021"}}],"schema":"https://github.com/citation-style-language/schema/raw/master/csl-citation.json"} </w:instrText>
      </w:r>
      <w:r>
        <w:rPr>
          <w:rFonts w:ascii="Times New Roman" w:hAnsi="Times New Roman" w:cs="Times New Roman"/>
          <w:sz w:val="24"/>
          <w:szCs w:val="24"/>
        </w:rPr>
        <w:fldChar w:fldCharType="separate"/>
      </w:r>
      <w:r w:rsidRPr="00686F1D">
        <w:rPr>
          <w:rFonts w:ascii="Times New Roman" w:hAnsi="Times New Roman" w:cs="Times New Roman"/>
          <w:sz w:val="24"/>
        </w:rPr>
        <w:t>Wei et al.</w:t>
      </w:r>
      <w:r>
        <w:rPr>
          <w:rFonts w:ascii="Times New Roman" w:hAnsi="Times New Roman" w:cs="Times New Roman"/>
          <w:sz w:val="24"/>
        </w:rPr>
        <w:t xml:space="preserve"> (</w:t>
      </w:r>
      <w:r w:rsidRPr="00686F1D">
        <w:rPr>
          <w:rFonts w:ascii="Times New Roman" w:hAnsi="Times New Roman" w:cs="Times New Roman"/>
          <w:sz w:val="24"/>
        </w:rPr>
        <w:t>2021)</w:t>
      </w:r>
      <w:r>
        <w:rPr>
          <w:rFonts w:ascii="Times New Roman" w:hAnsi="Times New Roman" w:cs="Times New Roman"/>
          <w:sz w:val="24"/>
          <w:szCs w:val="24"/>
        </w:rPr>
        <w:fldChar w:fldCharType="end"/>
      </w:r>
      <w:r w:rsidRPr="00686F1D">
        <w:rPr>
          <w:rFonts w:ascii="Times New Roman" w:hAnsi="Times New Roman" w:cs="Times New Roman"/>
          <w:sz w:val="24"/>
          <w:szCs w:val="24"/>
        </w:rPr>
        <w:t xml:space="preserve"> executed a case study analyzing public opinions on climate change policy in the European Union using Twitter data. The study concluded that social media offers a platform for citizens to discuss climate change policies, suggesting that public institutions should leverage social media to engage with citizens on critical issues like climate change.</w:t>
      </w:r>
    </w:p>
    <w:p w14:paraId="0076B2F2" w14:textId="77777777" w:rsidR="00686F1D" w:rsidRDefault="00686F1D" w:rsidP="00686F1D">
      <w:pPr>
        <w:rPr>
          <w:rFonts w:ascii="Times New Roman" w:hAnsi="Times New Roman" w:cs="Times New Roman"/>
          <w:sz w:val="24"/>
          <w:szCs w:val="24"/>
        </w:rPr>
      </w:pPr>
    </w:p>
    <w:p w14:paraId="544AA929" w14:textId="2D6FE31D" w:rsidR="00B97DFF" w:rsidRPr="00B97DFF" w:rsidRDefault="00B97DFF" w:rsidP="00686F1D">
      <w:pPr>
        <w:rPr>
          <w:rFonts w:ascii="Times New Roman" w:hAnsi="Times New Roman" w:cs="Times New Roman"/>
          <w:b/>
          <w:bCs/>
          <w:sz w:val="24"/>
          <w:szCs w:val="24"/>
        </w:rPr>
      </w:pPr>
      <w:r w:rsidRPr="00B97DFF">
        <w:rPr>
          <w:rFonts w:ascii="Times New Roman" w:hAnsi="Times New Roman" w:cs="Times New Roman"/>
          <w:b/>
          <w:bCs/>
          <w:sz w:val="24"/>
          <w:szCs w:val="24"/>
        </w:rPr>
        <w:t>Case study</w:t>
      </w:r>
    </w:p>
    <w:p w14:paraId="233C6DC5" w14:textId="134CB569" w:rsidR="002277F5" w:rsidRPr="002277F5" w:rsidRDefault="002277F5" w:rsidP="00686F1D">
      <w:pPr>
        <w:rPr>
          <w:rFonts w:ascii="Times New Roman" w:hAnsi="Times New Roman" w:cs="Times New Roman"/>
          <w:b/>
          <w:bCs/>
          <w:sz w:val="24"/>
          <w:szCs w:val="24"/>
        </w:rPr>
      </w:pPr>
      <w:r>
        <w:rPr>
          <w:rFonts w:ascii="Times New Roman" w:hAnsi="Times New Roman" w:cs="Times New Roman"/>
          <w:b/>
          <w:bCs/>
          <w:sz w:val="24"/>
          <w:szCs w:val="24"/>
        </w:rPr>
        <w:t>Research objectives</w:t>
      </w:r>
    </w:p>
    <w:p w14:paraId="0B372182" w14:textId="453F2A09" w:rsidR="00686F1D" w:rsidRDefault="00B97DFF" w:rsidP="00686F1D">
      <w:pPr>
        <w:rPr>
          <w:rFonts w:ascii="Times New Roman" w:hAnsi="Times New Roman" w:cs="Times New Roman"/>
          <w:sz w:val="24"/>
          <w:szCs w:val="24"/>
        </w:rPr>
      </w:pPr>
      <w:r w:rsidRPr="00B97DFF">
        <w:rPr>
          <w:rFonts w:ascii="Times New Roman" w:hAnsi="Times New Roman" w:cs="Times New Roman"/>
          <w:sz w:val="24"/>
          <w:szCs w:val="24"/>
        </w:rPr>
        <w:t>The overall objective of this research is to analyze and compare the online engagement of the public on various official social media platforms (Facebook, Instagram, Twitter, and YouTube) of the European Commission.</w:t>
      </w:r>
    </w:p>
    <w:p w14:paraId="2EC2C03C" w14:textId="77777777" w:rsidR="00B97DFF" w:rsidRDefault="00B97DFF" w:rsidP="00686F1D">
      <w:pPr>
        <w:rPr>
          <w:rFonts w:ascii="Times New Roman" w:hAnsi="Times New Roman" w:cs="Times New Roman"/>
          <w:sz w:val="24"/>
          <w:szCs w:val="24"/>
        </w:rPr>
      </w:pPr>
    </w:p>
    <w:p w14:paraId="6CB8B021" w14:textId="3D6EA234" w:rsidR="00B97DFF" w:rsidRDefault="00B97DFF" w:rsidP="00686F1D">
      <w:pPr>
        <w:rPr>
          <w:rFonts w:ascii="Times New Roman" w:hAnsi="Times New Roman" w:cs="Times New Roman"/>
          <w:b/>
          <w:bCs/>
          <w:sz w:val="24"/>
          <w:szCs w:val="24"/>
        </w:rPr>
      </w:pPr>
      <w:r>
        <w:rPr>
          <w:rFonts w:ascii="Times New Roman" w:hAnsi="Times New Roman" w:cs="Times New Roman"/>
          <w:b/>
          <w:bCs/>
          <w:sz w:val="24"/>
          <w:szCs w:val="24"/>
        </w:rPr>
        <w:t>Research tool</w:t>
      </w:r>
    </w:p>
    <w:p w14:paraId="285C3142" w14:textId="77777777" w:rsidR="00B97DFF" w:rsidRP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 xml:space="preserve">The research instrument used in this study involved the extraction and analysis of data from the official Facebook, Twitter, Instagram, and </w:t>
      </w:r>
      <w:proofErr w:type="spellStart"/>
      <w:r w:rsidRPr="00B97DFF">
        <w:rPr>
          <w:rFonts w:ascii="Times New Roman" w:hAnsi="Times New Roman" w:cs="Times New Roman"/>
          <w:sz w:val="24"/>
          <w:szCs w:val="24"/>
        </w:rPr>
        <w:t>Youtube</w:t>
      </w:r>
      <w:proofErr w:type="spellEnd"/>
      <w:r w:rsidRPr="00B97DFF">
        <w:rPr>
          <w:rFonts w:ascii="Times New Roman" w:hAnsi="Times New Roman" w:cs="Times New Roman"/>
          <w:sz w:val="24"/>
          <w:szCs w:val="24"/>
        </w:rPr>
        <w:t xml:space="preserve"> pages of the European Commission. To collect this data, the </w:t>
      </w:r>
      <w:commentRangeStart w:id="0"/>
      <w:proofErr w:type="spellStart"/>
      <w:r w:rsidRPr="00B97DFF">
        <w:rPr>
          <w:rFonts w:ascii="Times New Roman" w:hAnsi="Times New Roman" w:cs="Times New Roman"/>
          <w:sz w:val="24"/>
          <w:szCs w:val="24"/>
        </w:rPr>
        <w:t>Fanpagekarma</w:t>
      </w:r>
      <w:proofErr w:type="spellEnd"/>
      <w:r w:rsidRPr="00B97DFF">
        <w:rPr>
          <w:rFonts w:ascii="Times New Roman" w:hAnsi="Times New Roman" w:cs="Times New Roman"/>
          <w:sz w:val="24"/>
          <w:szCs w:val="24"/>
        </w:rPr>
        <w:t xml:space="preserve"> </w:t>
      </w:r>
      <w:commentRangeEnd w:id="0"/>
      <w:r w:rsidR="00E93A34">
        <w:rPr>
          <w:rStyle w:val="CommentReference"/>
        </w:rPr>
        <w:commentReference w:id="0"/>
      </w:r>
      <w:r w:rsidRPr="00B97DFF">
        <w:rPr>
          <w:rFonts w:ascii="Times New Roman" w:hAnsi="Times New Roman" w:cs="Times New Roman"/>
          <w:sz w:val="24"/>
          <w:szCs w:val="24"/>
        </w:rPr>
        <w:t>platform was used, which is a popular tool for social media analytics and monitoring.</w:t>
      </w:r>
    </w:p>
    <w:p w14:paraId="20DE732E" w14:textId="30CFE05F" w:rsidR="00B97DFF" w:rsidRP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 xml:space="preserve">The data extracted from the platform included the post ID, message content, post type, </w:t>
      </w:r>
      <w:proofErr w:type="spellStart"/>
      <w:r w:rsidRPr="00B97DFF">
        <w:rPr>
          <w:rFonts w:ascii="Times New Roman" w:hAnsi="Times New Roman" w:cs="Times New Roman"/>
          <w:sz w:val="24"/>
          <w:szCs w:val="24"/>
        </w:rPr>
        <w:t>post date</w:t>
      </w:r>
      <w:proofErr w:type="spellEnd"/>
      <w:r w:rsidRPr="00B97DFF">
        <w:rPr>
          <w:rFonts w:ascii="Times New Roman" w:hAnsi="Times New Roman" w:cs="Times New Roman"/>
          <w:sz w:val="24"/>
          <w:szCs w:val="24"/>
        </w:rPr>
        <w:t xml:space="preserve">, number of likes, comments, shares, and rounded number of followers for each post made by the European Commission between 24 March 2023 and 20 April 2023. </w:t>
      </w:r>
    </w:p>
    <w:p w14:paraId="31DE3443" w14:textId="77777777" w:rsidR="00B97DFF" w:rsidRPr="00B97DFF" w:rsidRDefault="00B97DFF" w:rsidP="00B97DFF">
      <w:pPr>
        <w:rPr>
          <w:rFonts w:ascii="Times New Roman" w:hAnsi="Times New Roman" w:cs="Times New Roman"/>
          <w:sz w:val="24"/>
          <w:szCs w:val="24"/>
        </w:rPr>
      </w:pPr>
      <w:r w:rsidRPr="00B97DFF">
        <w:rPr>
          <w:rFonts w:ascii="Times New Roman" w:hAnsi="Times New Roman" w:cs="Times New Roman"/>
          <w:sz w:val="24"/>
          <w:szCs w:val="24"/>
        </w:rPr>
        <w:t>To calculate the engagement rate, the total number of reactions (likes, comments, and shares) was divided by the number of followers. This metric is often used to measure the level of audience interaction with a brand or organization on social media.</w:t>
      </w:r>
    </w:p>
    <w:p w14:paraId="06CE1DC5" w14:textId="77777777" w:rsidR="00E93A34" w:rsidRDefault="00E93A34" w:rsidP="00B97DFF">
      <w:pPr>
        <w:rPr>
          <w:rFonts w:ascii="Times New Roman" w:hAnsi="Times New Roman" w:cs="Times New Roman"/>
          <w:sz w:val="24"/>
          <w:szCs w:val="24"/>
        </w:rPr>
      </w:pPr>
    </w:p>
    <w:p w14:paraId="62080976" w14:textId="0E3DD46C" w:rsidR="00E93A34" w:rsidRPr="00E93A34" w:rsidRDefault="00E93A34" w:rsidP="00B97DFF">
      <w:pPr>
        <w:rPr>
          <w:rFonts w:ascii="Times New Roman" w:hAnsi="Times New Roman" w:cs="Times New Roman"/>
          <w:b/>
          <w:bCs/>
          <w:sz w:val="24"/>
          <w:szCs w:val="24"/>
        </w:rPr>
      </w:pPr>
      <w:r w:rsidRPr="00E93A34">
        <w:rPr>
          <w:rFonts w:ascii="Times New Roman" w:hAnsi="Times New Roman" w:cs="Times New Roman"/>
          <w:b/>
          <w:bCs/>
          <w:sz w:val="24"/>
          <w:szCs w:val="24"/>
        </w:rPr>
        <w:t>Overview of data analysis</w:t>
      </w:r>
    </w:p>
    <w:p w14:paraId="61EE16CB" w14:textId="77777777" w:rsidR="00E93A34" w:rsidRDefault="00B97DFF" w:rsidP="00E93A34">
      <w:pPr>
        <w:ind w:firstLine="720"/>
        <w:rPr>
          <w:rFonts w:ascii="Times New Roman" w:eastAsia="Times New Roman" w:hAnsi="Times New Roman" w:cs="Times New Roman"/>
          <w:kern w:val="0"/>
          <w:sz w:val="24"/>
          <w:szCs w:val="24"/>
          <w14:ligatures w14:val="none"/>
        </w:rPr>
      </w:pPr>
      <w:r w:rsidRPr="00B97DFF">
        <w:rPr>
          <w:rFonts w:ascii="Times New Roman" w:hAnsi="Times New Roman" w:cs="Times New Roman"/>
          <w:sz w:val="24"/>
          <w:szCs w:val="24"/>
        </w:rPr>
        <w:t>The data collected from this research instrument was analyzed using various statistical techniques, including descriptive statistics and</w:t>
      </w:r>
      <w:r w:rsidRPr="00050E38">
        <w:rPr>
          <w:rFonts w:ascii="Times New Roman" w:hAnsi="Times New Roman" w:cs="Times New Roman"/>
          <w:color w:val="FF0000"/>
          <w:sz w:val="24"/>
          <w:szCs w:val="24"/>
        </w:rPr>
        <w:t xml:space="preserve"> </w:t>
      </w:r>
      <w:r w:rsidR="002277F5" w:rsidRPr="00050E38">
        <w:rPr>
          <w:rFonts w:ascii="Times New Roman" w:hAnsi="Times New Roman" w:cs="Times New Roman"/>
          <w:color w:val="FF0000"/>
          <w:sz w:val="24"/>
          <w:szCs w:val="24"/>
        </w:rPr>
        <w:t>……</w:t>
      </w:r>
      <w:r w:rsidRPr="00B97DFF">
        <w:rPr>
          <w:rFonts w:ascii="Times New Roman" w:hAnsi="Times New Roman" w:cs="Times New Roman"/>
          <w:sz w:val="24"/>
          <w:szCs w:val="24"/>
        </w:rPr>
        <w:t>. Descriptive statistics were used to summarize the data and identify trends and patterns in the engagement rates, likes, comments, and shares for each post type and platform.</w:t>
      </w:r>
      <w:r w:rsidR="00E93A34" w:rsidRPr="00E93A34">
        <w:rPr>
          <w:rFonts w:ascii="Times New Roman" w:eastAsia="Times New Roman" w:hAnsi="Times New Roman" w:cs="Times New Roman"/>
          <w:kern w:val="0"/>
          <w:sz w:val="24"/>
          <w:szCs w:val="24"/>
          <w14:ligatures w14:val="none"/>
        </w:rPr>
        <w:t xml:space="preserve"> </w:t>
      </w:r>
    </w:p>
    <w:p w14:paraId="3C42F73E" w14:textId="189D345A" w:rsidR="00E93A34" w:rsidRPr="00A93E55" w:rsidRDefault="00E93A34" w:rsidP="00E93A34">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lastRenderedPageBreak/>
        <w:t xml:space="preserve">In this analysis, we will examine the social media performance of the European Commission's Facebook, Instagram, Twitter, and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accounts during the period from 24 March 2023 to 20 April 2023. We will focus on the engagement rate (ER) of each platform, which measures the percentage of followers who engage with a post by liking, commenting, sharing, or otherwise interacting with it.</w:t>
      </w:r>
    </w:p>
    <w:p w14:paraId="45E2A6DC" w14:textId="7013D013" w:rsidR="00B97DFF" w:rsidRDefault="00B97DFF" w:rsidP="00B97DFF">
      <w:pPr>
        <w:rPr>
          <w:rFonts w:ascii="Times New Roman" w:hAnsi="Times New Roman" w:cs="Times New Roman"/>
          <w:sz w:val="24"/>
          <w:szCs w:val="24"/>
        </w:rPr>
      </w:pPr>
    </w:p>
    <w:p w14:paraId="5C79C33C" w14:textId="23A4AA26" w:rsidR="002277F5" w:rsidRPr="00E93A34" w:rsidRDefault="00E93A34" w:rsidP="00B97DFF">
      <w:pPr>
        <w:rPr>
          <w:rFonts w:ascii="Times New Roman" w:hAnsi="Times New Roman" w:cs="Times New Roman"/>
          <w:b/>
          <w:bCs/>
          <w:sz w:val="24"/>
          <w:szCs w:val="24"/>
        </w:rPr>
      </w:pPr>
      <w:r w:rsidRPr="00E93A34">
        <w:rPr>
          <w:rFonts w:ascii="Times New Roman" w:hAnsi="Times New Roman" w:cs="Times New Roman"/>
          <w:b/>
          <w:bCs/>
          <w:sz w:val="24"/>
          <w:szCs w:val="24"/>
        </w:rPr>
        <w:t xml:space="preserve">Results </w:t>
      </w:r>
    </w:p>
    <w:tbl>
      <w:tblPr>
        <w:tblW w:w="9418" w:type="dxa"/>
        <w:tblCellMar>
          <w:top w:w="15" w:type="dxa"/>
          <w:left w:w="15" w:type="dxa"/>
          <w:bottom w:w="15" w:type="dxa"/>
          <w:right w:w="15" w:type="dxa"/>
        </w:tblCellMar>
        <w:tblLook w:val="04A0" w:firstRow="1" w:lastRow="0" w:firstColumn="1" w:lastColumn="0" w:noHBand="0" w:noVBand="1"/>
      </w:tblPr>
      <w:tblGrid>
        <w:gridCol w:w="492"/>
        <w:gridCol w:w="52"/>
        <w:gridCol w:w="1446"/>
        <w:gridCol w:w="53"/>
        <w:gridCol w:w="754"/>
        <w:gridCol w:w="70"/>
        <w:gridCol w:w="1131"/>
        <w:gridCol w:w="63"/>
        <w:gridCol w:w="950"/>
        <w:gridCol w:w="53"/>
        <w:gridCol w:w="950"/>
        <w:gridCol w:w="53"/>
        <w:gridCol w:w="1694"/>
        <w:gridCol w:w="53"/>
        <w:gridCol w:w="1519"/>
        <w:gridCol w:w="85"/>
      </w:tblGrid>
      <w:tr w:rsidR="009A5E39" w:rsidRPr="009A5E39" w14:paraId="40365858" w14:textId="77777777" w:rsidTr="009A5E39">
        <w:trPr>
          <w:trHeight w:val="296"/>
          <w:tblHeader/>
        </w:trPr>
        <w:tc>
          <w:tcPr>
            <w:tcW w:w="0" w:type="auto"/>
            <w:gridSpan w:val="16"/>
            <w:tcBorders>
              <w:top w:val="nil"/>
              <w:left w:val="nil"/>
              <w:bottom w:val="single" w:sz="6" w:space="0" w:color="000000"/>
              <w:right w:val="nil"/>
            </w:tcBorders>
            <w:vAlign w:val="center"/>
            <w:hideMark/>
          </w:tcPr>
          <w:p w14:paraId="5464F5CB" w14:textId="0EA6460A" w:rsidR="009A5E39" w:rsidRPr="009A5E39" w:rsidRDefault="00180CE5" w:rsidP="009A5E39">
            <w:pPr>
              <w:ind w:firstLine="0"/>
              <w:jc w:val="left"/>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Paginile</w:t>
            </w:r>
            <w:proofErr w:type="spellEnd"/>
            <w:r>
              <w:rPr>
                <w:rFonts w:ascii="Times New Roman" w:eastAsia="Times New Roman" w:hAnsi="Times New Roman" w:cs="Times New Roman"/>
                <w:b/>
                <w:bCs/>
                <w:kern w:val="0"/>
                <w:sz w:val="24"/>
                <w:szCs w:val="24"/>
                <w14:ligatures w14:val="none"/>
              </w:rPr>
              <w:t xml:space="preserve"> social media ale </w:t>
            </w:r>
            <w:proofErr w:type="spellStart"/>
            <w:r>
              <w:rPr>
                <w:rFonts w:ascii="Times New Roman" w:eastAsia="Times New Roman" w:hAnsi="Times New Roman" w:cs="Times New Roman"/>
                <w:b/>
                <w:bCs/>
                <w:kern w:val="0"/>
                <w:sz w:val="24"/>
                <w:szCs w:val="24"/>
                <w14:ligatures w14:val="none"/>
              </w:rPr>
              <w:t>Comisiei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Europene</w:t>
            </w:r>
            <w:proofErr w:type="spellEnd"/>
            <w:r w:rsidR="009A5E39" w:rsidRPr="009A5E39">
              <w:rPr>
                <w:rFonts w:ascii="Times New Roman" w:eastAsia="Times New Roman" w:hAnsi="Times New Roman" w:cs="Times New Roman"/>
                <w:b/>
                <w:bCs/>
                <w:kern w:val="0"/>
                <w:sz w:val="24"/>
                <w:szCs w:val="24"/>
                <w14:ligatures w14:val="none"/>
              </w:rPr>
              <w:t xml:space="preserve"> </w:t>
            </w:r>
          </w:p>
        </w:tc>
      </w:tr>
      <w:tr w:rsidR="00180CE5" w:rsidRPr="009A5E39" w14:paraId="4040605B" w14:textId="77777777" w:rsidTr="009A5E39">
        <w:trPr>
          <w:trHeight w:val="313"/>
          <w:tblHeader/>
        </w:trPr>
        <w:tc>
          <w:tcPr>
            <w:tcW w:w="0" w:type="auto"/>
            <w:gridSpan w:val="2"/>
            <w:tcBorders>
              <w:top w:val="nil"/>
              <w:left w:val="nil"/>
              <w:bottom w:val="single" w:sz="6" w:space="0" w:color="000000"/>
              <w:right w:val="nil"/>
            </w:tcBorders>
            <w:vAlign w:val="center"/>
            <w:hideMark/>
          </w:tcPr>
          <w:p w14:paraId="7FE7FB83"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 </w:t>
            </w:r>
          </w:p>
        </w:tc>
        <w:tc>
          <w:tcPr>
            <w:tcW w:w="0" w:type="auto"/>
            <w:gridSpan w:val="2"/>
            <w:tcBorders>
              <w:top w:val="nil"/>
              <w:left w:val="nil"/>
              <w:bottom w:val="single" w:sz="6" w:space="0" w:color="000000"/>
              <w:right w:val="nil"/>
            </w:tcBorders>
            <w:vAlign w:val="center"/>
            <w:hideMark/>
          </w:tcPr>
          <w:p w14:paraId="01A8BEBD"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 </w:t>
            </w:r>
          </w:p>
        </w:tc>
        <w:tc>
          <w:tcPr>
            <w:tcW w:w="0" w:type="auto"/>
            <w:gridSpan w:val="2"/>
            <w:tcBorders>
              <w:top w:val="nil"/>
              <w:left w:val="nil"/>
              <w:bottom w:val="single" w:sz="6" w:space="0" w:color="000000"/>
              <w:right w:val="nil"/>
            </w:tcBorders>
            <w:vAlign w:val="center"/>
            <w:hideMark/>
          </w:tcPr>
          <w:p w14:paraId="41AA0CBC" w14:textId="0ED5BA9D" w:rsidR="009A5E39" w:rsidRPr="009A5E39" w:rsidRDefault="00A93E55" w:rsidP="009A5E39">
            <w:pPr>
              <w:ind w:firstLine="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Posts</w:t>
            </w:r>
          </w:p>
        </w:tc>
        <w:tc>
          <w:tcPr>
            <w:tcW w:w="0" w:type="auto"/>
            <w:gridSpan w:val="2"/>
            <w:tcBorders>
              <w:top w:val="nil"/>
              <w:left w:val="nil"/>
              <w:bottom w:val="single" w:sz="6" w:space="0" w:color="000000"/>
              <w:right w:val="nil"/>
            </w:tcBorders>
            <w:vAlign w:val="center"/>
            <w:hideMark/>
          </w:tcPr>
          <w:p w14:paraId="33B76B5B"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Median</w:t>
            </w:r>
          </w:p>
        </w:tc>
        <w:tc>
          <w:tcPr>
            <w:tcW w:w="0" w:type="auto"/>
            <w:gridSpan w:val="2"/>
            <w:tcBorders>
              <w:top w:val="nil"/>
              <w:left w:val="nil"/>
              <w:bottom w:val="single" w:sz="6" w:space="0" w:color="000000"/>
              <w:right w:val="nil"/>
            </w:tcBorders>
            <w:vAlign w:val="center"/>
            <w:hideMark/>
          </w:tcPr>
          <w:p w14:paraId="1E9E45F2"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Mean</w:t>
            </w:r>
          </w:p>
        </w:tc>
        <w:tc>
          <w:tcPr>
            <w:tcW w:w="0" w:type="auto"/>
            <w:gridSpan w:val="2"/>
            <w:tcBorders>
              <w:top w:val="nil"/>
              <w:left w:val="nil"/>
              <w:bottom w:val="single" w:sz="6" w:space="0" w:color="000000"/>
              <w:right w:val="nil"/>
            </w:tcBorders>
            <w:vAlign w:val="center"/>
            <w:hideMark/>
          </w:tcPr>
          <w:p w14:paraId="38EE1E1F"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IQR</w:t>
            </w:r>
          </w:p>
        </w:tc>
        <w:tc>
          <w:tcPr>
            <w:tcW w:w="0" w:type="auto"/>
            <w:gridSpan w:val="2"/>
            <w:tcBorders>
              <w:top w:val="nil"/>
              <w:left w:val="nil"/>
              <w:bottom w:val="single" w:sz="6" w:space="0" w:color="000000"/>
              <w:right w:val="nil"/>
            </w:tcBorders>
            <w:vAlign w:val="center"/>
            <w:hideMark/>
          </w:tcPr>
          <w:p w14:paraId="2206507F"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Minimum</w:t>
            </w:r>
          </w:p>
        </w:tc>
        <w:tc>
          <w:tcPr>
            <w:tcW w:w="0" w:type="auto"/>
            <w:gridSpan w:val="2"/>
            <w:tcBorders>
              <w:top w:val="nil"/>
              <w:left w:val="nil"/>
              <w:bottom w:val="single" w:sz="6" w:space="0" w:color="000000"/>
              <w:right w:val="nil"/>
            </w:tcBorders>
            <w:vAlign w:val="center"/>
            <w:hideMark/>
          </w:tcPr>
          <w:p w14:paraId="674AEBAE" w14:textId="77777777" w:rsidR="009A5E39" w:rsidRPr="009A5E39" w:rsidRDefault="009A5E39" w:rsidP="009A5E39">
            <w:pPr>
              <w:ind w:firstLine="0"/>
              <w:jc w:val="center"/>
              <w:rPr>
                <w:rFonts w:ascii="Times New Roman" w:eastAsia="Times New Roman" w:hAnsi="Times New Roman" w:cs="Times New Roman"/>
                <w:b/>
                <w:bCs/>
                <w:kern w:val="0"/>
                <w:sz w:val="24"/>
                <w:szCs w:val="24"/>
                <w14:ligatures w14:val="none"/>
              </w:rPr>
            </w:pPr>
            <w:r w:rsidRPr="009A5E39">
              <w:rPr>
                <w:rFonts w:ascii="Times New Roman" w:eastAsia="Times New Roman" w:hAnsi="Times New Roman" w:cs="Times New Roman"/>
                <w:b/>
                <w:bCs/>
                <w:kern w:val="0"/>
                <w:sz w:val="24"/>
                <w:szCs w:val="24"/>
                <w14:ligatures w14:val="none"/>
              </w:rPr>
              <w:t>Maximum</w:t>
            </w:r>
          </w:p>
        </w:tc>
      </w:tr>
      <w:tr w:rsidR="00A93E55" w:rsidRPr="009A5E39" w14:paraId="1BF58EBF" w14:textId="77777777" w:rsidTr="009A5E39">
        <w:trPr>
          <w:trHeight w:val="296"/>
        </w:trPr>
        <w:tc>
          <w:tcPr>
            <w:tcW w:w="0" w:type="auto"/>
            <w:tcBorders>
              <w:top w:val="nil"/>
              <w:left w:val="nil"/>
              <w:bottom w:val="nil"/>
              <w:right w:val="nil"/>
            </w:tcBorders>
            <w:vAlign w:val="center"/>
            <w:hideMark/>
          </w:tcPr>
          <w:p w14:paraId="00BD5D5A"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7BB2F472"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B58C6CF"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Facebook</w:t>
            </w:r>
          </w:p>
        </w:tc>
        <w:tc>
          <w:tcPr>
            <w:tcW w:w="0" w:type="auto"/>
            <w:tcBorders>
              <w:top w:val="nil"/>
              <w:left w:val="nil"/>
              <w:bottom w:val="nil"/>
              <w:right w:val="nil"/>
            </w:tcBorders>
            <w:vAlign w:val="center"/>
            <w:hideMark/>
          </w:tcPr>
          <w:p w14:paraId="37CFA8EC"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49048A4"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54</w:t>
            </w:r>
          </w:p>
        </w:tc>
        <w:tc>
          <w:tcPr>
            <w:tcW w:w="0" w:type="auto"/>
            <w:tcBorders>
              <w:top w:val="nil"/>
              <w:left w:val="nil"/>
              <w:bottom w:val="nil"/>
              <w:right w:val="nil"/>
            </w:tcBorders>
            <w:vAlign w:val="center"/>
            <w:hideMark/>
          </w:tcPr>
          <w:p w14:paraId="1E3F8C6E"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6FB0B11" w14:textId="376F170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0.10</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67E43A01"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992265C" w14:textId="58977983"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0.15</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6D663C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9BE804A" w14:textId="7252EC0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0.13</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C4C7D28"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D6A656A" w14:textId="7235C37F"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5C14CF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3B2F8E0" w14:textId="2CC4625D"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0.66</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4026BFC"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A93E55" w:rsidRPr="009A5E39" w14:paraId="3A9D0C6C" w14:textId="77777777" w:rsidTr="009A5E39">
        <w:trPr>
          <w:trHeight w:val="313"/>
        </w:trPr>
        <w:tc>
          <w:tcPr>
            <w:tcW w:w="0" w:type="auto"/>
            <w:tcBorders>
              <w:top w:val="nil"/>
              <w:left w:val="nil"/>
              <w:bottom w:val="nil"/>
              <w:right w:val="nil"/>
            </w:tcBorders>
            <w:vAlign w:val="center"/>
            <w:hideMark/>
          </w:tcPr>
          <w:p w14:paraId="3671F3F4"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4CA8A4D1"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CC7C335"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Instagram</w:t>
            </w:r>
          </w:p>
        </w:tc>
        <w:tc>
          <w:tcPr>
            <w:tcW w:w="0" w:type="auto"/>
            <w:tcBorders>
              <w:top w:val="nil"/>
              <w:left w:val="nil"/>
              <w:bottom w:val="nil"/>
              <w:right w:val="nil"/>
            </w:tcBorders>
            <w:vAlign w:val="center"/>
            <w:hideMark/>
          </w:tcPr>
          <w:p w14:paraId="1698CDEE"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F20D8B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51</w:t>
            </w:r>
          </w:p>
        </w:tc>
        <w:tc>
          <w:tcPr>
            <w:tcW w:w="0" w:type="auto"/>
            <w:tcBorders>
              <w:top w:val="nil"/>
              <w:left w:val="nil"/>
              <w:bottom w:val="nil"/>
              <w:right w:val="nil"/>
            </w:tcBorders>
            <w:vAlign w:val="center"/>
            <w:hideMark/>
          </w:tcPr>
          <w:p w14:paraId="2A2783C2"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8F66CD6" w14:textId="3BD2634C"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0.32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0BA32E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23F5D45" w14:textId="461D8C0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0.49</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03EA175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468EB821" w14:textId="3F386A4D"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0.36</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6C3A9B0F"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F5B7CD2" w14:textId="1399E230"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0.08</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3D04D33"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92E46E3" w14:textId="04FE6786"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2.58</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3F62567F"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A93E55" w:rsidRPr="009A5E39" w14:paraId="5F97FD71" w14:textId="77777777" w:rsidTr="009A5E39">
        <w:trPr>
          <w:trHeight w:val="296"/>
        </w:trPr>
        <w:tc>
          <w:tcPr>
            <w:tcW w:w="0" w:type="auto"/>
            <w:tcBorders>
              <w:top w:val="nil"/>
              <w:left w:val="nil"/>
              <w:bottom w:val="nil"/>
              <w:right w:val="nil"/>
            </w:tcBorders>
            <w:vAlign w:val="center"/>
            <w:hideMark/>
          </w:tcPr>
          <w:p w14:paraId="35F24D3F"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2B8A44B4"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27A668F"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Twitter</w:t>
            </w:r>
          </w:p>
        </w:tc>
        <w:tc>
          <w:tcPr>
            <w:tcW w:w="0" w:type="auto"/>
            <w:tcBorders>
              <w:top w:val="nil"/>
              <w:left w:val="nil"/>
              <w:bottom w:val="nil"/>
              <w:right w:val="nil"/>
            </w:tcBorders>
            <w:vAlign w:val="center"/>
            <w:hideMark/>
          </w:tcPr>
          <w:p w14:paraId="5CBD6C7D"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9F7F104"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194</w:t>
            </w:r>
          </w:p>
        </w:tc>
        <w:tc>
          <w:tcPr>
            <w:tcW w:w="0" w:type="auto"/>
            <w:tcBorders>
              <w:top w:val="nil"/>
              <w:left w:val="nil"/>
              <w:bottom w:val="nil"/>
              <w:right w:val="nil"/>
            </w:tcBorders>
            <w:vAlign w:val="center"/>
            <w:hideMark/>
          </w:tcPr>
          <w:p w14:paraId="67E61F1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024379C5" w14:textId="11381D99"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0.01</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1A327D2"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B3B9868" w14:textId="7690CE0A"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0.03</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58529496"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31B3148" w14:textId="5291D22A"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753E7B7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9142646" w14:textId="1187197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0.00</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50D50BB"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3ADECECE" w14:textId="2ED63C13"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0.54</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0B08982"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A93E55" w:rsidRPr="009A5E39" w14:paraId="36421A63" w14:textId="77777777" w:rsidTr="009A5E39">
        <w:trPr>
          <w:trHeight w:val="296"/>
        </w:trPr>
        <w:tc>
          <w:tcPr>
            <w:tcW w:w="0" w:type="auto"/>
            <w:tcBorders>
              <w:top w:val="nil"/>
              <w:left w:val="nil"/>
              <w:bottom w:val="nil"/>
              <w:right w:val="nil"/>
            </w:tcBorders>
            <w:vAlign w:val="center"/>
            <w:hideMark/>
          </w:tcPr>
          <w:p w14:paraId="64E2C140"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ER</w:t>
            </w:r>
          </w:p>
        </w:tc>
        <w:tc>
          <w:tcPr>
            <w:tcW w:w="0" w:type="auto"/>
            <w:tcBorders>
              <w:top w:val="nil"/>
              <w:left w:val="nil"/>
              <w:bottom w:val="nil"/>
              <w:right w:val="nil"/>
            </w:tcBorders>
            <w:vAlign w:val="center"/>
            <w:hideMark/>
          </w:tcPr>
          <w:p w14:paraId="6A1C8EFC"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4A65879"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roofErr w:type="spellStart"/>
            <w:r w:rsidRPr="009A5E39">
              <w:rPr>
                <w:rFonts w:ascii="Times New Roman" w:eastAsia="Times New Roman" w:hAnsi="Times New Roman" w:cs="Times New Roman"/>
                <w:kern w:val="0"/>
                <w:sz w:val="24"/>
                <w:szCs w:val="24"/>
                <w14:ligatures w14:val="none"/>
              </w:rPr>
              <w:t>Youtube</w:t>
            </w:r>
            <w:proofErr w:type="spellEnd"/>
          </w:p>
        </w:tc>
        <w:tc>
          <w:tcPr>
            <w:tcW w:w="0" w:type="auto"/>
            <w:tcBorders>
              <w:top w:val="nil"/>
              <w:left w:val="nil"/>
              <w:bottom w:val="nil"/>
              <w:right w:val="nil"/>
            </w:tcBorders>
            <w:vAlign w:val="center"/>
            <w:hideMark/>
          </w:tcPr>
          <w:p w14:paraId="5C9D0E9E" w14:textId="77777777" w:rsidR="009A5E39" w:rsidRPr="009A5E39" w:rsidRDefault="009A5E39" w:rsidP="009A5E39">
            <w:pPr>
              <w:ind w:firstLine="0"/>
              <w:jc w:val="lef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046BC7C"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36</w:t>
            </w:r>
          </w:p>
        </w:tc>
        <w:tc>
          <w:tcPr>
            <w:tcW w:w="0" w:type="auto"/>
            <w:tcBorders>
              <w:top w:val="nil"/>
              <w:left w:val="nil"/>
              <w:bottom w:val="nil"/>
              <w:right w:val="nil"/>
            </w:tcBorders>
            <w:vAlign w:val="center"/>
            <w:hideMark/>
          </w:tcPr>
          <w:p w14:paraId="04B9A8E8"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191872C" w14:textId="30D438E5"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0.01</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26FB9A59"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1D5D095F" w14:textId="2C3D4102"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0.07</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53D4E77"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6BF7F39C" w14:textId="44F3A871"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0.02</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22499359"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7BA6718E" w14:textId="06E7BAE7"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4.03×10</w:t>
            </w:r>
            <w:r w:rsidRPr="009A5E39">
              <w:rPr>
                <w:rFonts w:ascii="Times New Roman" w:eastAsia="Times New Roman" w:hAnsi="Times New Roman" w:cs="Times New Roman"/>
                <w:kern w:val="0"/>
                <w:sz w:val="24"/>
                <w:szCs w:val="24"/>
                <w:vertAlign w:val="superscript"/>
                <w14:ligatures w14:val="none"/>
              </w:rPr>
              <w:t>-3</w:t>
            </w:r>
            <w:r w:rsidR="00180CE5" w:rsidRPr="00180CE5">
              <w:rPr>
                <w:rFonts w:ascii="Times New Roman" w:eastAsia="Times New Roman" w:hAnsi="Times New Roman" w:cs="Times New Roman"/>
                <w:kern w:val="0"/>
                <w:sz w:val="24"/>
                <w:szCs w:val="24"/>
                <w14:ligatures w14:val="none"/>
              </w:rPr>
              <w:t>%</w:t>
            </w:r>
            <w:r w:rsidRPr="009A5E39">
              <w:rPr>
                <w:rFonts w:ascii="Times New Roman" w:eastAsia="Times New Roman" w:hAnsi="Times New Roman" w:cs="Times New Roman"/>
                <w:kern w:val="0"/>
                <w:sz w:val="24"/>
                <w:szCs w:val="24"/>
                <w14:ligatures w14:val="none"/>
              </w:rPr>
              <w:t xml:space="preserve"> </w:t>
            </w:r>
          </w:p>
        </w:tc>
        <w:tc>
          <w:tcPr>
            <w:tcW w:w="0" w:type="auto"/>
            <w:tcBorders>
              <w:top w:val="nil"/>
              <w:left w:val="nil"/>
              <w:bottom w:val="nil"/>
              <w:right w:val="nil"/>
            </w:tcBorders>
            <w:vAlign w:val="center"/>
            <w:hideMark/>
          </w:tcPr>
          <w:p w14:paraId="3B5F4594"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c>
          <w:tcPr>
            <w:tcW w:w="0" w:type="auto"/>
            <w:tcBorders>
              <w:top w:val="nil"/>
              <w:left w:val="nil"/>
              <w:bottom w:val="nil"/>
              <w:right w:val="nil"/>
            </w:tcBorders>
            <w:vAlign w:val="center"/>
            <w:hideMark/>
          </w:tcPr>
          <w:p w14:paraId="50FD154F" w14:textId="6BCB67D0" w:rsidR="009A5E39" w:rsidRPr="009A5E39" w:rsidRDefault="009A5E39" w:rsidP="009A5E39">
            <w:pPr>
              <w:ind w:firstLine="0"/>
              <w:jc w:val="right"/>
              <w:rPr>
                <w:rFonts w:ascii="Times New Roman" w:eastAsia="Times New Roman" w:hAnsi="Times New Roman" w:cs="Times New Roman"/>
                <w:kern w:val="0"/>
                <w:sz w:val="24"/>
                <w:szCs w:val="24"/>
                <w14:ligatures w14:val="none"/>
              </w:rPr>
            </w:pPr>
            <w:r w:rsidRPr="009A5E39">
              <w:rPr>
                <w:rFonts w:ascii="Times New Roman" w:eastAsia="Times New Roman" w:hAnsi="Times New Roman" w:cs="Times New Roman"/>
                <w:kern w:val="0"/>
                <w:sz w:val="24"/>
                <w:szCs w:val="24"/>
                <w14:ligatures w14:val="none"/>
              </w:rPr>
              <w:t>1.16</w:t>
            </w:r>
            <w:r w:rsidR="00180CE5">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vAlign w:val="center"/>
            <w:hideMark/>
          </w:tcPr>
          <w:p w14:paraId="182749AC" w14:textId="77777777" w:rsidR="009A5E39" w:rsidRPr="009A5E39" w:rsidRDefault="009A5E39" w:rsidP="009A5E39">
            <w:pPr>
              <w:ind w:firstLine="0"/>
              <w:jc w:val="right"/>
              <w:rPr>
                <w:rFonts w:ascii="Times New Roman" w:eastAsia="Times New Roman" w:hAnsi="Times New Roman" w:cs="Times New Roman"/>
                <w:kern w:val="0"/>
                <w:sz w:val="24"/>
                <w:szCs w:val="24"/>
                <w14:ligatures w14:val="none"/>
              </w:rPr>
            </w:pPr>
          </w:p>
        </w:tc>
      </w:tr>
      <w:tr w:rsidR="009A5E39" w:rsidRPr="009A5E39" w14:paraId="5916BE01" w14:textId="77777777" w:rsidTr="009A5E39">
        <w:trPr>
          <w:trHeight w:val="263"/>
        </w:trPr>
        <w:tc>
          <w:tcPr>
            <w:tcW w:w="0" w:type="auto"/>
            <w:gridSpan w:val="16"/>
            <w:tcBorders>
              <w:top w:val="nil"/>
              <w:left w:val="nil"/>
              <w:bottom w:val="single" w:sz="12" w:space="0" w:color="000000"/>
              <w:right w:val="nil"/>
            </w:tcBorders>
            <w:vAlign w:val="center"/>
            <w:hideMark/>
          </w:tcPr>
          <w:p w14:paraId="20FB05B5" w14:textId="77777777" w:rsidR="009A5E39" w:rsidRPr="009A5E39" w:rsidRDefault="009A5E39" w:rsidP="009A5E39">
            <w:pPr>
              <w:ind w:firstLine="0"/>
              <w:jc w:val="left"/>
              <w:rPr>
                <w:rFonts w:ascii="Times New Roman" w:eastAsia="Times New Roman" w:hAnsi="Times New Roman" w:cs="Times New Roman"/>
                <w:kern w:val="0"/>
                <w:sz w:val="20"/>
                <w:szCs w:val="20"/>
                <w14:ligatures w14:val="none"/>
              </w:rPr>
            </w:pPr>
          </w:p>
        </w:tc>
      </w:tr>
    </w:tbl>
    <w:p w14:paraId="28860B74" w14:textId="77777777" w:rsidR="00A93E55" w:rsidRDefault="00A93E55" w:rsidP="00A93E55">
      <w:pPr>
        <w:ind w:firstLine="0"/>
        <w:rPr>
          <w:rFonts w:ascii="Times New Roman" w:eastAsia="Times New Roman" w:hAnsi="Times New Roman" w:cs="Times New Roman"/>
          <w:kern w:val="0"/>
          <w:sz w:val="24"/>
          <w:szCs w:val="24"/>
          <w14:ligatures w14:val="none"/>
        </w:rPr>
      </w:pPr>
    </w:p>
    <w:p w14:paraId="29ABDA0C" w14:textId="038D47DD" w:rsidR="00A93E55" w:rsidRPr="00A93E55" w:rsidRDefault="00A93E55" w:rsidP="00A93E55">
      <w:pPr>
        <w:ind w:firstLine="720"/>
        <w:rPr>
          <w:rFonts w:ascii="Times New Roman" w:eastAsia="Times New Roman" w:hAnsi="Times New Roman" w:cs="Times New Roman"/>
          <w:i/>
          <w:iCs/>
          <w:kern w:val="0"/>
          <w:sz w:val="24"/>
          <w:szCs w:val="24"/>
          <w14:ligatures w14:val="none"/>
        </w:rPr>
      </w:pPr>
      <w:r w:rsidRPr="00A93E55">
        <w:rPr>
          <w:rFonts w:ascii="Times New Roman" w:eastAsia="Times New Roman" w:hAnsi="Times New Roman" w:cs="Times New Roman"/>
          <w:i/>
          <w:iCs/>
          <w:kern w:val="0"/>
          <w:sz w:val="24"/>
          <w:szCs w:val="24"/>
          <w14:ligatures w14:val="none"/>
        </w:rPr>
        <w:t>Facebook</w:t>
      </w:r>
    </w:p>
    <w:p w14:paraId="55A3BF79"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During the monitoring period, the European Commission posted 54 times on Facebook, with a median engagement rate of 0.10%, a mean engagement rate of 0.15%, and an interquartile range (IQR) of 0.13%. The minimum engagement rate was 0.02%, and the maximum engagement rate was 0.66%.</w:t>
      </w:r>
    </w:p>
    <w:p w14:paraId="30C6EF58"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low median and mean engagement rates suggest that the Commission's Facebook content did not generate a high level of engagement from its followers. However, the IQR of 0.13% indicates that there was some variability in engagement rates among the Commission's posts, with some posts performing better than others. The maximum engagement rate of 0.66% suggests that the Commission's most successful Facebook posts were able to generate a relatively high level of engagement from its followers.</w:t>
      </w:r>
    </w:p>
    <w:p w14:paraId="5AD8CDBF"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4A59FCDE" w14:textId="5E0AA30E" w:rsidR="00A93E55" w:rsidRPr="00A93E55" w:rsidRDefault="00A93E55" w:rsidP="00A93E55">
      <w:pPr>
        <w:ind w:firstLine="720"/>
        <w:rPr>
          <w:rFonts w:ascii="Times New Roman" w:eastAsia="Times New Roman" w:hAnsi="Times New Roman" w:cs="Times New Roman"/>
          <w:i/>
          <w:iCs/>
          <w:kern w:val="0"/>
          <w:sz w:val="24"/>
          <w:szCs w:val="24"/>
          <w14:ligatures w14:val="none"/>
        </w:rPr>
      </w:pPr>
      <w:r w:rsidRPr="00A93E55">
        <w:rPr>
          <w:rFonts w:ascii="Times New Roman" w:eastAsia="Times New Roman" w:hAnsi="Times New Roman" w:cs="Times New Roman"/>
          <w:i/>
          <w:iCs/>
          <w:kern w:val="0"/>
          <w:sz w:val="24"/>
          <w:szCs w:val="24"/>
          <w14:ligatures w14:val="none"/>
        </w:rPr>
        <w:t>Instagram</w:t>
      </w:r>
    </w:p>
    <w:p w14:paraId="249D4AE4"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European Commission posted 51 times on Instagram during the monitoring period, with a median engagement rate of 0.32%, a mean engagement rate of 0.49%, and an IQR of 0.36%. The minimum engagement rate was 0.08%, and the maximum engagement rate was 2.58%.</w:t>
      </w:r>
    </w:p>
    <w:p w14:paraId="05B2BC52"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higher median and mean engagement rates on Instagram compared to Facebook indicate that the Commission's Instagram content was more successful in generating engagement from its followers. The IQR of 0.36% suggests that there was some variability in engagement rates among the Commission's Instagram posts, but overall, the Commission was able to consistently generate a relatively high level of engagement on this platform. The maximum engagement rate of 2.58% is particularly noteworthy, as it suggests that the Commission's most successful Instagram posts were able to generate a very high level of engagement from its followers.</w:t>
      </w:r>
    </w:p>
    <w:p w14:paraId="34EF534E"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5C5BB60B" w14:textId="591E2BA6" w:rsidR="00A93E55" w:rsidRPr="00A93E55" w:rsidRDefault="00A93E55" w:rsidP="00A93E55">
      <w:pPr>
        <w:ind w:firstLine="720"/>
        <w:rPr>
          <w:rFonts w:ascii="Times New Roman" w:eastAsia="Times New Roman" w:hAnsi="Times New Roman" w:cs="Times New Roman"/>
          <w:i/>
          <w:iCs/>
          <w:kern w:val="0"/>
          <w:sz w:val="24"/>
          <w:szCs w:val="24"/>
          <w14:ligatures w14:val="none"/>
        </w:rPr>
      </w:pPr>
      <w:r w:rsidRPr="00A93E55">
        <w:rPr>
          <w:rFonts w:ascii="Times New Roman" w:eastAsia="Times New Roman" w:hAnsi="Times New Roman" w:cs="Times New Roman"/>
          <w:i/>
          <w:iCs/>
          <w:kern w:val="0"/>
          <w:sz w:val="24"/>
          <w:szCs w:val="24"/>
          <w14:ligatures w14:val="none"/>
        </w:rPr>
        <w:t>Twitter</w:t>
      </w:r>
    </w:p>
    <w:p w14:paraId="1D14C51A"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lastRenderedPageBreak/>
        <w:t>The European Commission posted 194 times on Twitter during the monitoring period, with a median engagement rate of 0.01%, a mean engagement rate of 0.03%, and an IQR of 0.02%. The minimum engagement rate was 0.00%, and the maximum engagement rate was 0.54%.</w:t>
      </w:r>
    </w:p>
    <w:p w14:paraId="0E6FBE6D"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low median and mean engagement rates on Twitter indicate that the Commission's Twitter content did not generate a high level of engagement from its followers. However, the IQR of 0.02% suggests that there was some variability in engagement rates among the Commission's Twitter posts, with some posts performing better than others. The maximum engagement rate of 0.54% suggests that the Commission's most successful Twitter posts were able to generate a relatively high level of engagement from its followers, but overall, Twitter appears to be the platform where the Commission struggled the most to generate engagement.</w:t>
      </w:r>
    </w:p>
    <w:p w14:paraId="6FE90495"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5961AFAE" w14:textId="757D57CB" w:rsidR="00A93E55" w:rsidRPr="00A93E55" w:rsidRDefault="00A93E55" w:rsidP="00A93E55">
      <w:pPr>
        <w:ind w:firstLine="720"/>
        <w:rPr>
          <w:rFonts w:ascii="Times New Roman" w:eastAsia="Times New Roman" w:hAnsi="Times New Roman" w:cs="Times New Roman"/>
          <w:i/>
          <w:iCs/>
          <w:kern w:val="0"/>
          <w:sz w:val="24"/>
          <w:szCs w:val="24"/>
          <w14:ligatures w14:val="none"/>
        </w:rPr>
      </w:pPr>
      <w:proofErr w:type="spellStart"/>
      <w:r w:rsidRPr="00A93E55">
        <w:rPr>
          <w:rFonts w:ascii="Times New Roman" w:eastAsia="Times New Roman" w:hAnsi="Times New Roman" w:cs="Times New Roman"/>
          <w:i/>
          <w:iCs/>
          <w:kern w:val="0"/>
          <w:sz w:val="24"/>
          <w:szCs w:val="24"/>
          <w14:ligatures w14:val="none"/>
        </w:rPr>
        <w:t>Youtube</w:t>
      </w:r>
      <w:proofErr w:type="spellEnd"/>
    </w:p>
    <w:p w14:paraId="1C744254"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The European Commission posted 36 videos on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during the monitoring period, with a median engagement rate of 0.01%, a mean engagement rate of 0.07%, and an IQR of 0.02%. The minimum engagement rate was 4.03×10-3%, and the maximum engagement rate was 1.16%.</w:t>
      </w:r>
    </w:p>
    <w:p w14:paraId="32A19162" w14:textId="1AB769E5"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The low median and mean engagement rates on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indicate</w:t>
      </w:r>
      <w:r>
        <w:rPr>
          <w:rFonts w:ascii="Times New Roman" w:eastAsia="Times New Roman" w:hAnsi="Times New Roman" w:cs="Times New Roman"/>
          <w:kern w:val="0"/>
          <w:sz w:val="24"/>
          <w:szCs w:val="24"/>
          <w14:ligatures w14:val="none"/>
        </w:rPr>
        <w:t xml:space="preserve"> </w:t>
      </w:r>
      <w:r w:rsidRPr="00A93E55">
        <w:rPr>
          <w:rFonts w:ascii="Times New Roman" w:eastAsia="Times New Roman" w:hAnsi="Times New Roman" w:cs="Times New Roman"/>
          <w:kern w:val="0"/>
          <w:sz w:val="24"/>
          <w:szCs w:val="24"/>
          <w14:ligatures w14:val="none"/>
        </w:rPr>
        <w:t xml:space="preserve">that the Commission's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content did not generate a high level of engagement from its followers during the monitoring period. However, the IQR of 0.02% suggests that there was some variability in engagement rates among the Commission's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videos, with some videos performing better than others. The maximum engagement rate of 1.16% suggests that the Commission's most successful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videos were able to generate a relatively high level of engagement from its followers.</w:t>
      </w:r>
    </w:p>
    <w:p w14:paraId="7B5322BB"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p>
    <w:p w14:paraId="3F6860BC"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Overall, the data suggests that the European Commission was most successful in generating engagement on Instagram, followed by Facebook,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and Twitter. The Commission's Instagram content consistently generated higher engagement rates than its content on the other platforms, with a median engagement rate of 0.32% and a mean engagement rate of 0.49%. On Facebook, the Commission's median engagement rate was 0.10% and its mean engagement rate was 0.15%. On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the Commission's median engagement rate was 0.01% and its mean engagement rate was 0.07%. On Twitter, the Commission's median engagement rate was 0.01% and its mean engagement rate was 0.03%.</w:t>
      </w:r>
    </w:p>
    <w:p w14:paraId="09150E5B" w14:textId="7195781B"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 xml:space="preserve">It is worth noting that the Commission's most successful posts on each platform were able to generate relatively high levels of engagement, with maximum engagement rates ranging from 0.66% on Facebook to 2.58% on Instagram. This suggests that the Commission can create content that resonates with its followers and generates high levels of engagement, but that it may need to work on consistently producing such content across </w:t>
      </w:r>
      <w:proofErr w:type="gramStart"/>
      <w:r w:rsidRPr="00A93E55">
        <w:rPr>
          <w:rFonts w:ascii="Times New Roman" w:eastAsia="Times New Roman" w:hAnsi="Times New Roman" w:cs="Times New Roman"/>
          <w:kern w:val="0"/>
          <w:sz w:val="24"/>
          <w:szCs w:val="24"/>
          <w14:ligatures w14:val="none"/>
        </w:rPr>
        <w:t>all of</w:t>
      </w:r>
      <w:proofErr w:type="gramEnd"/>
      <w:r w:rsidRPr="00A93E55">
        <w:rPr>
          <w:rFonts w:ascii="Times New Roman" w:eastAsia="Times New Roman" w:hAnsi="Times New Roman" w:cs="Times New Roman"/>
          <w:kern w:val="0"/>
          <w:sz w:val="24"/>
          <w:szCs w:val="24"/>
          <w14:ligatures w14:val="none"/>
        </w:rPr>
        <w:t xml:space="preserve"> its social media platforms.</w:t>
      </w:r>
    </w:p>
    <w:p w14:paraId="796BEB6C" w14:textId="77777777" w:rsidR="00A93E55" w:rsidRP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t>The reasons behind the variation in engagement rates between the Commission's different social media platforms are likely multifaceted and may include differences in the types of content being posted, the target audience for each platform, and the algorithms used by each platform to determine which content is shown to users. For example, Instagram's algorithm is known to prioritize content that generates high levels of engagement, which may explain why the Commission was able to achieve higher engagement rates on this platform.</w:t>
      </w:r>
    </w:p>
    <w:p w14:paraId="58810427" w14:textId="225C1FE2" w:rsidR="00A93E55" w:rsidRDefault="00A93E55" w:rsidP="00A93E55">
      <w:pPr>
        <w:ind w:firstLine="720"/>
        <w:rPr>
          <w:rFonts w:ascii="Times New Roman" w:eastAsia="Times New Roman" w:hAnsi="Times New Roman" w:cs="Times New Roman"/>
          <w:kern w:val="0"/>
          <w:sz w:val="24"/>
          <w:szCs w:val="24"/>
          <w14:ligatures w14:val="none"/>
        </w:rPr>
      </w:pPr>
      <w:r w:rsidRPr="00A93E55">
        <w:rPr>
          <w:rFonts w:ascii="Times New Roman" w:eastAsia="Times New Roman" w:hAnsi="Times New Roman" w:cs="Times New Roman"/>
          <w:kern w:val="0"/>
          <w:sz w:val="24"/>
          <w:szCs w:val="24"/>
          <w14:ligatures w14:val="none"/>
        </w:rPr>
        <w:lastRenderedPageBreak/>
        <w:t xml:space="preserve">In conclusion, the European Commission's social media performance during the monitoring period suggests that the Commission was most successful in generating engagement on Instagram, followed by Facebook, </w:t>
      </w:r>
      <w:proofErr w:type="spellStart"/>
      <w:r w:rsidRPr="00A93E55">
        <w:rPr>
          <w:rFonts w:ascii="Times New Roman" w:eastAsia="Times New Roman" w:hAnsi="Times New Roman" w:cs="Times New Roman"/>
          <w:kern w:val="0"/>
          <w:sz w:val="24"/>
          <w:szCs w:val="24"/>
          <w14:ligatures w14:val="none"/>
        </w:rPr>
        <w:t>Youtube</w:t>
      </w:r>
      <w:proofErr w:type="spellEnd"/>
      <w:r w:rsidRPr="00A93E55">
        <w:rPr>
          <w:rFonts w:ascii="Times New Roman" w:eastAsia="Times New Roman" w:hAnsi="Times New Roman" w:cs="Times New Roman"/>
          <w:kern w:val="0"/>
          <w:sz w:val="24"/>
          <w:szCs w:val="24"/>
          <w14:ligatures w14:val="none"/>
        </w:rPr>
        <w:t xml:space="preserve">, and Twitter. While the Commission's most successful posts on each platform were able to generate relatively high levels of engagement, the Commission may need to work on consistently producing content that resonates with its followers across </w:t>
      </w:r>
      <w:proofErr w:type="gramStart"/>
      <w:r w:rsidRPr="00A93E55">
        <w:rPr>
          <w:rFonts w:ascii="Times New Roman" w:eastAsia="Times New Roman" w:hAnsi="Times New Roman" w:cs="Times New Roman"/>
          <w:kern w:val="0"/>
          <w:sz w:val="24"/>
          <w:szCs w:val="24"/>
          <w14:ligatures w14:val="none"/>
        </w:rPr>
        <w:t>all of</w:t>
      </w:r>
      <w:proofErr w:type="gramEnd"/>
      <w:r w:rsidRPr="00A93E55">
        <w:rPr>
          <w:rFonts w:ascii="Times New Roman" w:eastAsia="Times New Roman" w:hAnsi="Times New Roman" w:cs="Times New Roman"/>
          <w:kern w:val="0"/>
          <w:sz w:val="24"/>
          <w:szCs w:val="24"/>
          <w14:ligatures w14:val="none"/>
        </w:rPr>
        <w:t xml:space="preserve"> its social media platforms. The reasons behind the variation in engagement rates between the Commission's different social media platforms are likely complex and require further analysis to fully understand.</w:t>
      </w:r>
    </w:p>
    <w:p w14:paraId="3258D444" w14:textId="77777777" w:rsidR="00A93E55" w:rsidRDefault="00A93E55" w:rsidP="00A93E55">
      <w:pPr>
        <w:ind w:firstLine="0"/>
        <w:rPr>
          <w:rFonts w:ascii="Times New Roman" w:eastAsia="Times New Roman" w:hAnsi="Times New Roman" w:cs="Times New Roman"/>
          <w:kern w:val="0"/>
          <w:sz w:val="24"/>
          <w:szCs w:val="24"/>
          <w14:ligatures w14:val="none"/>
        </w:rPr>
      </w:pPr>
    </w:p>
    <w:p w14:paraId="52BA652E" w14:textId="03DB6C32" w:rsidR="002277F5" w:rsidRPr="002277F5" w:rsidRDefault="00550FB3" w:rsidP="002277F5">
      <w:pPr>
        <w:ind w:firstLine="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41FA1F46" wp14:editId="664AA6A1">
            <wp:extent cx="6305550" cy="3548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2179" cy="3557967"/>
                    </a:xfrm>
                    <a:prstGeom prst="rect">
                      <a:avLst/>
                    </a:prstGeom>
                    <a:noFill/>
                  </pic:spPr>
                </pic:pic>
              </a:graphicData>
            </a:graphic>
          </wp:inline>
        </w:drawing>
      </w:r>
    </w:p>
    <w:p w14:paraId="080E9B9E" w14:textId="4F30192E" w:rsidR="002277F5" w:rsidRPr="002277F5" w:rsidRDefault="002277F5" w:rsidP="002277F5">
      <w:pPr>
        <w:ind w:firstLine="0"/>
        <w:jc w:val="center"/>
        <w:rPr>
          <w:rFonts w:ascii="Times New Roman" w:eastAsia="Times New Roman" w:hAnsi="Times New Roman" w:cs="Times New Roman"/>
          <w:kern w:val="0"/>
          <w:sz w:val="24"/>
          <w:szCs w:val="24"/>
          <w14:ligatures w14:val="none"/>
        </w:rPr>
      </w:pPr>
    </w:p>
    <w:p w14:paraId="0B6DDCA5" w14:textId="77777777" w:rsidR="002277F5" w:rsidRDefault="002277F5" w:rsidP="002277F5">
      <w:pPr>
        <w:ind w:firstLine="0"/>
        <w:rPr>
          <w:rFonts w:ascii="Times New Roman" w:hAnsi="Times New Roman" w:cs="Times New Roman"/>
          <w:sz w:val="24"/>
          <w:szCs w:val="24"/>
        </w:rPr>
      </w:pPr>
    </w:p>
    <w:p w14:paraId="3CA5A5A8" w14:textId="77777777" w:rsidR="002277F5" w:rsidRDefault="002277F5" w:rsidP="002277F5">
      <w:pPr>
        <w:ind w:firstLine="0"/>
        <w:rPr>
          <w:rFonts w:ascii="Times New Roman" w:hAnsi="Times New Roman" w:cs="Times New Roman"/>
          <w:sz w:val="24"/>
          <w:szCs w:val="24"/>
        </w:rPr>
      </w:pPr>
    </w:p>
    <w:p w14:paraId="22D00005" w14:textId="77777777" w:rsidR="002277F5" w:rsidRDefault="002277F5" w:rsidP="002277F5">
      <w:pPr>
        <w:ind w:firstLine="0"/>
        <w:rPr>
          <w:rFonts w:ascii="Times New Roman" w:hAnsi="Times New Roman" w:cs="Times New Roman"/>
          <w:sz w:val="24"/>
          <w:szCs w:val="24"/>
        </w:rPr>
      </w:pPr>
    </w:p>
    <w:p w14:paraId="5D32CB7C" w14:textId="4D9290BF" w:rsidR="00686F1D" w:rsidRDefault="00686F1D" w:rsidP="00686F1D">
      <w:pPr>
        <w:rPr>
          <w:rFonts w:ascii="Times New Roman" w:hAnsi="Times New Roman" w:cs="Times New Roman"/>
          <w:b/>
          <w:bCs/>
          <w:sz w:val="24"/>
          <w:szCs w:val="24"/>
        </w:rPr>
      </w:pPr>
      <w:r>
        <w:rPr>
          <w:rFonts w:ascii="Times New Roman" w:hAnsi="Times New Roman" w:cs="Times New Roman"/>
          <w:b/>
          <w:bCs/>
          <w:sz w:val="24"/>
          <w:szCs w:val="24"/>
        </w:rPr>
        <w:t>References</w:t>
      </w:r>
    </w:p>
    <w:p w14:paraId="014E45CE" w14:textId="77777777" w:rsidR="00FD4E60" w:rsidRPr="00FD4E60" w:rsidRDefault="00686F1D" w:rsidP="00FD4E60">
      <w:pPr>
        <w:pStyle w:val="Bibliography"/>
        <w:spacing w:line="240" w:lineRule="auto"/>
        <w:rPr>
          <w:rFonts w:ascii="Times New Roman" w:hAnsi="Times New Roman" w:cs="Times New Roman"/>
          <w:sz w:val="24"/>
        </w:rPr>
      </w:pPr>
      <w:r>
        <w:fldChar w:fldCharType="begin"/>
      </w:r>
      <w:r>
        <w:instrText xml:space="preserve"> ADDIN ZOTERO_BIBL {"uncited":[],"omitted":[],"custom":[]} CSL_BIBLIOGRAPHY </w:instrText>
      </w:r>
      <w:r>
        <w:fldChar w:fldCharType="separate"/>
      </w:r>
      <w:r w:rsidR="00FD4E60" w:rsidRPr="00FD4E60">
        <w:rPr>
          <w:rFonts w:ascii="Times New Roman" w:hAnsi="Times New Roman" w:cs="Times New Roman"/>
          <w:sz w:val="24"/>
        </w:rPr>
        <w:t xml:space="preserve">Bankston, J. (2021). Migration and smuggling across virtual borders: A European Union case study of internet governance and immigration politics. In </w:t>
      </w:r>
      <w:r w:rsidR="00FD4E60" w:rsidRPr="00FD4E60">
        <w:rPr>
          <w:rFonts w:ascii="Times New Roman" w:hAnsi="Times New Roman" w:cs="Times New Roman"/>
          <w:i/>
          <w:iCs/>
          <w:sz w:val="24"/>
        </w:rPr>
        <w:t>Digital Identity, Virtual Borders and Social Media</w:t>
      </w:r>
      <w:r w:rsidR="00FD4E60" w:rsidRPr="00FD4E60">
        <w:rPr>
          <w:rFonts w:ascii="Times New Roman" w:hAnsi="Times New Roman" w:cs="Times New Roman"/>
          <w:sz w:val="24"/>
        </w:rPr>
        <w:t xml:space="preserve"> (pp. 73–97). Edward Elgar Publishing.</w:t>
      </w:r>
    </w:p>
    <w:p w14:paraId="32D8A111"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Bene, M., Ceron, A., Fenoll, V., Haßler, J., Kruschinski, S., Larsson, A. O., Magin, M., Schlosser, K., &amp; Wurst, A.-K. (2022). Keep them engaged! Investigating the effects of self-centered social media communication style on user engagement in 12 European countries. </w:t>
      </w:r>
      <w:r w:rsidRPr="00FD4E60">
        <w:rPr>
          <w:rFonts w:ascii="Times New Roman" w:hAnsi="Times New Roman" w:cs="Times New Roman"/>
          <w:i/>
          <w:iCs/>
          <w:sz w:val="24"/>
        </w:rPr>
        <w:t>Political Communication</w:t>
      </w:r>
      <w:r w:rsidRPr="00FD4E60">
        <w:rPr>
          <w:rFonts w:ascii="Times New Roman" w:hAnsi="Times New Roman" w:cs="Times New Roman"/>
          <w:sz w:val="24"/>
        </w:rPr>
        <w:t xml:space="preserve">, </w:t>
      </w:r>
      <w:r w:rsidRPr="00FD4E60">
        <w:rPr>
          <w:rFonts w:ascii="Times New Roman" w:hAnsi="Times New Roman" w:cs="Times New Roman"/>
          <w:i/>
          <w:iCs/>
          <w:sz w:val="24"/>
        </w:rPr>
        <w:t>39</w:t>
      </w:r>
      <w:r w:rsidRPr="00FD4E60">
        <w:rPr>
          <w:rFonts w:ascii="Times New Roman" w:hAnsi="Times New Roman" w:cs="Times New Roman"/>
          <w:sz w:val="24"/>
        </w:rPr>
        <w:t>(4), 429–453.</w:t>
      </w:r>
    </w:p>
    <w:p w14:paraId="3BA7C99E"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lastRenderedPageBreak/>
        <w:t xml:space="preserve">Cinelli, M., Peruzzi, A., Schmidt, A. L., Villa, R., Costa, E., Quattrociocchi, W., &amp; Zollo, F. (2022). Promoting engagement with quality communication in social media. </w:t>
      </w:r>
      <w:r w:rsidRPr="00FD4E60">
        <w:rPr>
          <w:rFonts w:ascii="Times New Roman" w:hAnsi="Times New Roman" w:cs="Times New Roman"/>
          <w:i/>
          <w:iCs/>
          <w:sz w:val="24"/>
        </w:rPr>
        <w:t>Plos One</w:t>
      </w:r>
      <w:r w:rsidRPr="00FD4E60">
        <w:rPr>
          <w:rFonts w:ascii="Times New Roman" w:hAnsi="Times New Roman" w:cs="Times New Roman"/>
          <w:sz w:val="24"/>
        </w:rPr>
        <w:t xml:space="preserve">, </w:t>
      </w:r>
      <w:r w:rsidRPr="00FD4E60">
        <w:rPr>
          <w:rFonts w:ascii="Times New Roman" w:hAnsi="Times New Roman" w:cs="Times New Roman"/>
          <w:i/>
          <w:iCs/>
          <w:sz w:val="24"/>
        </w:rPr>
        <w:t>17</w:t>
      </w:r>
      <w:r w:rsidRPr="00FD4E60">
        <w:rPr>
          <w:rFonts w:ascii="Times New Roman" w:hAnsi="Times New Roman" w:cs="Times New Roman"/>
          <w:sz w:val="24"/>
        </w:rPr>
        <w:t>(10), e0275534.</w:t>
      </w:r>
    </w:p>
    <w:p w14:paraId="2EEE7978"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De Wilde, P., Rasch, A., &amp; Bossetta, M. (2022). Analyzing citizen engagement with European politics on social media. </w:t>
      </w:r>
      <w:r w:rsidRPr="00FD4E60">
        <w:rPr>
          <w:rFonts w:ascii="Times New Roman" w:hAnsi="Times New Roman" w:cs="Times New Roman"/>
          <w:i/>
          <w:iCs/>
          <w:sz w:val="24"/>
        </w:rPr>
        <w:t>Politics and Governance</w:t>
      </w:r>
      <w:r w:rsidRPr="00FD4E60">
        <w:rPr>
          <w:rFonts w:ascii="Times New Roman" w:hAnsi="Times New Roman" w:cs="Times New Roman"/>
          <w:sz w:val="24"/>
        </w:rPr>
        <w:t xml:space="preserve">, </w:t>
      </w:r>
      <w:r w:rsidRPr="00FD4E60">
        <w:rPr>
          <w:rFonts w:ascii="Times New Roman" w:hAnsi="Times New Roman" w:cs="Times New Roman"/>
          <w:i/>
          <w:iCs/>
          <w:sz w:val="24"/>
        </w:rPr>
        <w:t>10</w:t>
      </w:r>
      <w:r w:rsidRPr="00FD4E60">
        <w:rPr>
          <w:rFonts w:ascii="Times New Roman" w:hAnsi="Times New Roman" w:cs="Times New Roman"/>
          <w:sz w:val="24"/>
        </w:rPr>
        <w:t>(1), 90–96.</w:t>
      </w:r>
    </w:p>
    <w:p w14:paraId="0DB6C245"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Dolan, R., Conduit, J., Fahy, J., &amp; Goodman, S. (2016). Social media engagement behaviour: A uses and gratifications perspective. </w:t>
      </w:r>
      <w:r w:rsidRPr="00FD4E60">
        <w:rPr>
          <w:rFonts w:ascii="Times New Roman" w:hAnsi="Times New Roman" w:cs="Times New Roman"/>
          <w:i/>
          <w:iCs/>
          <w:sz w:val="24"/>
        </w:rPr>
        <w:t>Journal of Strategic Marketing</w:t>
      </w:r>
      <w:r w:rsidRPr="00FD4E60">
        <w:rPr>
          <w:rFonts w:ascii="Times New Roman" w:hAnsi="Times New Roman" w:cs="Times New Roman"/>
          <w:sz w:val="24"/>
        </w:rPr>
        <w:t xml:space="preserve">, </w:t>
      </w:r>
      <w:r w:rsidRPr="00FD4E60">
        <w:rPr>
          <w:rFonts w:ascii="Times New Roman" w:hAnsi="Times New Roman" w:cs="Times New Roman"/>
          <w:i/>
          <w:iCs/>
          <w:sz w:val="24"/>
        </w:rPr>
        <w:t>24</w:t>
      </w:r>
      <w:r w:rsidRPr="00FD4E60">
        <w:rPr>
          <w:rFonts w:ascii="Times New Roman" w:hAnsi="Times New Roman" w:cs="Times New Roman"/>
          <w:sz w:val="24"/>
        </w:rPr>
        <w:t>(3–4), 261–277.</w:t>
      </w:r>
    </w:p>
    <w:p w14:paraId="37478418"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Dragseth, M. R. (2020). Building student engagement through social media. </w:t>
      </w:r>
      <w:r w:rsidRPr="00FD4E60">
        <w:rPr>
          <w:rFonts w:ascii="Times New Roman" w:hAnsi="Times New Roman" w:cs="Times New Roman"/>
          <w:i/>
          <w:iCs/>
          <w:sz w:val="24"/>
        </w:rPr>
        <w:t>Journal of Political Science Education</w:t>
      </w:r>
      <w:r w:rsidRPr="00FD4E60">
        <w:rPr>
          <w:rFonts w:ascii="Times New Roman" w:hAnsi="Times New Roman" w:cs="Times New Roman"/>
          <w:sz w:val="24"/>
        </w:rPr>
        <w:t xml:space="preserve">, </w:t>
      </w:r>
      <w:r w:rsidRPr="00FD4E60">
        <w:rPr>
          <w:rFonts w:ascii="Times New Roman" w:hAnsi="Times New Roman" w:cs="Times New Roman"/>
          <w:i/>
          <w:iCs/>
          <w:sz w:val="24"/>
        </w:rPr>
        <w:t>16</w:t>
      </w:r>
      <w:r w:rsidRPr="00FD4E60">
        <w:rPr>
          <w:rFonts w:ascii="Times New Roman" w:hAnsi="Times New Roman" w:cs="Times New Roman"/>
          <w:sz w:val="24"/>
        </w:rPr>
        <w:t>(2), 243–256.</w:t>
      </w:r>
    </w:p>
    <w:p w14:paraId="4DA35AF2"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Hancu-Budui, A., Zorio-Grima, A., &amp; Blanco-Vega, J. (2020). Audit institutions in the European Union: Public service promotion, environmental engagement and Covid crisis communication through social media. </w:t>
      </w:r>
      <w:r w:rsidRPr="00FD4E60">
        <w:rPr>
          <w:rFonts w:ascii="Times New Roman" w:hAnsi="Times New Roman" w:cs="Times New Roman"/>
          <w:i/>
          <w:iCs/>
          <w:sz w:val="24"/>
        </w:rPr>
        <w:t>Sustainability</w:t>
      </w:r>
      <w:r w:rsidRPr="00FD4E60">
        <w:rPr>
          <w:rFonts w:ascii="Times New Roman" w:hAnsi="Times New Roman" w:cs="Times New Roman"/>
          <w:sz w:val="24"/>
        </w:rPr>
        <w:t xml:space="preserve">, </w:t>
      </w:r>
      <w:r w:rsidRPr="00FD4E60">
        <w:rPr>
          <w:rFonts w:ascii="Times New Roman" w:hAnsi="Times New Roman" w:cs="Times New Roman"/>
          <w:i/>
          <w:iCs/>
          <w:sz w:val="24"/>
        </w:rPr>
        <w:t>12</w:t>
      </w:r>
      <w:r w:rsidRPr="00FD4E60">
        <w:rPr>
          <w:rFonts w:ascii="Times New Roman" w:hAnsi="Times New Roman" w:cs="Times New Roman"/>
          <w:sz w:val="24"/>
        </w:rPr>
        <w:t>(23), 9816.</w:t>
      </w:r>
    </w:p>
    <w:p w14:paraId="0EE4C1AB"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Kanol, D., &amp; Nat, M. (2021). Group type and social media engagement strategies in the EU: The case of British interest groups on Facebook. </w:t>
      </w:r>
      <w:r w:rsidRPr="00FD4E60">
        <w:rPr>
          <w:rFonts w:ascii="Times New Roman" w:hAnsi="Times New Roman" w:cs="Times New Roman"/>
          <w:i/>
          <w:iCs/>
          <w:sz w:val="24"/>
        </w:rPr>
        <w:t>Journal of Public and Nonprofit Affairs</w:t>
      </w:r>
      <w:r w:rsidRPr="00FD4E60">
        <w:rPr>
          <w:rFonts w:ascii="Times New Roman" w:hAnsi="Times New Roman" w:cs="Times New Roman"/>
          <w:sz w:val="24"/>
        </w:rPr>
        <w:t xml:space="preserve">, </w:t>
      </w:r>
      <w:r w:rsidRPr="00FD4E60">
        <w:rPr>
          <w:rFonts w:ascii="Times New Roman" w:hAnsi="Times New Roman" w:cs="Times New Roman"/>
          <w:i/>
          <w:iCs/>
          <w:sz w:val="24"/>
        </w:rPr>
        <w:t>7</w:t>
      </w:r>
      <w:r w:rsidRPr="00FD4E60">
        <w:rPr>
          <w:rFonts w:ascii="Times New Roman" w:hAnsi="Times New Roman" w:cs="Times New Roman"/>
          <w:sz w:val="24"/>
        </w:rPr>
        <w:t>(2), 205–219.</w:t>
      </w:r>
    </w:p>
    <w:p w14:paraId="78E68918"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Mirbagheri, S., &amp; Najmi, M. (2019). Consumers’ engagement with social media activation campaigns: Construct conceptualization and scale development. </w:t>
      </w:r>
      <w:r w:rsidRPr="00FD4E60">
        <w:rPr>
          <w:rFonts w:ascii="Times New Roman" w:hAnsi="Times New Roman" w:cs="Times New Roman"/>
          <w:i/>
          <w:iCs/>
          <w:sz w:val="24"/>
        </w:rPr>
        <w:t>Psychology &amp; Marketing</w:t>
      </w:r>
      <w:r w:rsidRPr="00FD4E60">
        <w:rPr>
          <w:rFonts w:ascii="Times New Roman" w:hAnsi="Times New Roman" w:cs="Times New Roman"/>
          <w:sz w:val="24"/>
        </w:rPr>
        <w:t xml:space="preserve">, </w:t>
      </w:r>
      <w:r w:rsidRPr="00FD4E60">
        <w:rPr>
          <w:rFonts w:ascii="Times New Roman" w:hAnsi="Times New Roman" w:cs="Times New Roman"/>
          <w:i/>
          <w:iCs/>
          <w:sz w:val="24"/>
        </w:rPr>
        <w:t>36</w:t>
      </w:r>
      <w:r w:rsidRPr="00FD4E60">
        <w:rPr>
          <w:rFonts w:ascii="Times New Roman" w:hAnsi="Times New Roman" w:cs="Times New Roman"/>
          <w:sz w:val="24"/>
        </w:rPr>
        <w:t>(4), 376–394.</w:t>
      </w:r>
    </w:p>
    <w:p w14:paraId="3F2664F7"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Müller, M. (2022). Spreading the word? European Union agencies and social media attention. </w:t>
      </w:r>
      <w:r w:rsidRPr="00FD4E60">
        <w:rPr>
          <w:rFonts w:ascii="Times New Roman" w:hAnsi="Times New Roman" w:cs="Times New Roman"/>
          <w:i/>
          <w:iCs/>
          <w:sz w:val="24"/>
        </w:rPr>
        <w:t>Government Information Quarterly</w:t>
      </w:r>
      <w:r w:rsidRPr="00FD4E60">
        <w:rPr>
          <w:rFonts w:ascii="Times New Roman" w:hAnsi="Times New Roman" w:cs="Times New Roman"/>
          <w:sz w:val="24"/>
        </w:rPr>
        <w:t xml:space="preserve">, </w:t>
      </w:r>
      <w:r w:rsidRPr="00FD4E60">
        <w:rPr>
          <w:rFonts w:ascii="Times New Roman" w:hAnsi="Times New Roman" w:cs="Times New Roman"/>
          <w:i/>
          <w:iCs/>
          <w:sz w:val="24"/>
        </w:rPr>
        <w:t>39</w:t>
      </w:r>
      <w:r w:rsidRPr="00FD4E60">
        <w:rPr>
          <w:rFonts w:ascii="Times New Roman" w:hAnsi="Times New Roman" w:cs="Times New Roman"/>
          <w:sz w:val="24"/>
        </w:rPr>
        <w:t>(2), 101682.</w:t>
      </w:r>
    </w:p>
    <w:p w14:paraId="3EFC2C53"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Rus, M., Tasente, T., &amp; Camara, V. (2021). Social Media Communication of Public Institutions. Case Study: Representation of the European Commission in Romania. </w:t>
      </w:r>
      <w:r w:rsidRPr="00FD4E60">
        <w:rPr>
          <w:rFonts w:ascii="Times New Roman" w:hAnsi="Times New Roman" w:cs="Times New Roman"/>
          <w:i/>
          <w:iCs/>
          <w:sz w:val="24"/>
        </w:rPr>
        <w:t>Technium Social Sciences Journal</w:t>
      </w:r>
      <w:r w:rsidRPr="00FD4E60">
        <w:rPr>
          <w:rFonts w:ascii="Times New Roman" w:hAnsi="Times New Roman" w:cs="Times New Roman"/>
          <w:sz w:val="24"/>
        </w:rPr>
        <w:t xml:space="preserve">, </w:t>
      </w:r>
      <w:r w:rsidRPr="00FD4E60">
        <w:rPr>
          <w:rFonts w:ascii="Times New Roman" w:hAnsi="Times New Roman" w:cs="Times New Roman"/>
          <w:i/>
          <w:iCs/>
          <w:sz w:val="24"/>
        </w:rPr>
        <w:t>17</w:t>
      </w:r>
      <w:r w:rsidRPr="00FD4E60">
        <w:rPr>
          <w:rFonts w:ascii="Times New Roman" w:hAnsi="Times New Roman" w:cs="Times New Roman"/>
          <w:sz w:val="24"/>
        </w:rPr>
        <w:t>, 119.</w:t>
      </w:r>
    </w:p>
    <w:p w14:paraId="6B3D48C3"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Smith, B. G., &amp; Gallicano, T. D. (2015). Terms of engagement: Analyzing public engagement with organizations through social media. </w:t>
      </w:r>
      <w:r w:rsidRPr="00FD4E60">
        <w:rPr>
          <w:rFonts w:ascii="Times New Roman" w:hAnsi="Times New Roman" w:cs="Times New Roman"/>
          <w:i/>
          <w:iCs/>
          <w:sz w:val="24"/>
        </w:rPr>
        <w:t>Computers in Human Behavior</w:t>
      </w:r>
      <w:r w:rsidRPr="00FD4E60">
        <w:rPr>
          <w:rFonts w:ascii="Times New Roman" w:hAnsi="Times New Roman" w:cs="Times New Roman"/>
          <w:sz w:val="24"/>
        </w:rPr>
        <w:t xml:space="preserve">, </w:t>
      </w:r>
      <w:r w:rsidRPr="00FD4E60">
        <w:rPr>
          <w:rFonts w:ascii="Times New Roman" w:hAnsi="Times New Roman" w:cs="Times New Roman"/>
          <w:i/>
          <w:iCs/>
          <w:sz w:val="24"/>
        </w:rPr>
        <w:t>53</w:t>
      </w:r>
      <w:r w:rsidRPr="00FD4E60">
        <w:rPr>
          <w:rFonts w:ascii="Times New Roman" w:hAnsi="Times New Roman" w:cs="Times New Roman"/>
          <w:sz w:val="24"/>
        </w:rPr>
        <w:t>, 82–90.</w:t>
      </w:r>
    </w:p>
    <w:p w14:paraId="291D4E29"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Voorveld, H. A., Van Noort, G., Muntinga, D. G., &amp; Bronner, F. (2018). Engagement with social media and social media advertising: The differentiating role of platform type. </w:t>
      </w:r>
      <w:r w:rsidRPr="00FD4E60">
        <w:rPr>
          <w:rFonts w:ascii="Times New Roman" w:hAnsi="Times New Roman" w:cs="Times New Roman"/>
          <w:i/>
          <w:iCs/>
          <w:sz w:val="24"/>
        </w:rPr>
        <w:t>Journal of Advertising</w:t>
      </w:r>
      <w:r w:rsidRPr="00FD4E60">
        <w:rPr>
          <w:rFonts w:ascii="Times New Roman" w:hAnsi="Times New Roman" w:cs="Times New Roman"/>
          <w:sz w:val="24"/>
        </w:rPr>
        <w:t xml:space="preserve">, </w:t>
      </w:r>
      <w:r w:rsidRPr="00FD4E60">
        <w:rPr>
          <w:rFonts w:ascii="Times New Roman" w:hAnsi="Times New Roman" w:cs="Times New Roman"/>
          <w:i/>
          <w:iCs/>
          <w:sz w:val="24"/>
        </w:rPr>
        <w:t>47</w:t>
      </w:r>
      <w:r w:rsidRPr="00FD4E60">
        <w:rPr>
          <w:rFonts w:ascii="Times New Roman" w:hAnsi="Times New Roman" w:cs="Times New Roman"/>
          <w:sz w:val="24"/>
        </w:rPr>
        <w:t>(1), 38–54.</w:t>
      </w:r>
    </w:p>
    <w:p w14:paraId="644C5555" w14:textId="77777777" w:rsidR="00FD4E60" w:rsidRPr="00FD4E60" w:rsidRDefault="00FD4E60" w:rsidP="00FD4E60">
      <w:pPr>
        <w:pStyle w:val="Bibliography"/>
        <w:spacing w:line="240" w:lineRule="auto"/>
        <w:rPr>
          <w:rFonts w:ascii="Times New Roman" w:hAnsi="Times New Roman" w:cs="Times New Roman"/>
          <w:sz w:val="24"/>
        </w:rPr>
      </w:pPr>
      <w:r w:rsidRPr="00FD4E60">
        <w:rPr>
          <w:rFonts w:ascii="Times New Roman" w:hAnsi="Times New Roman" w:cs="Times New Roman"/>
          <w:sz w:val="24"/>
        </w:rPr>
        <w:t xml:space="preserve">Wei, Y., Gong, P., Zhang, J., &amp; Wang, L. (2021). Exploring public opinions on climate change policy in" Big Data Era"—A case study of the European Union Emission Trading System (EU-ETS) based on Twitter. </w:t>
      </w:r>
      <w:r w:rsidRPr="00FD4E60">
        <w:rPr>
          <w:rFonts w:ascii="Times New Roman" w:hAnsi="Times New Roman" w:cs="Times New Roman"/>
          <w:i/>
          <w:iCs/>
          <w:sz w:val="24"/>
        </w:rPr>
        <w:t>Energy Policy</w:t>
      </w:r>
      <w:r w:rsidRPr="00FD4E60">
        <w:rPr>
          <w:rFonts w:ascii="Times New Roman" w:hAnsi="Times New Roman" w:cs="Times New Roman"/>
          <w:sz w:val="24"/>
        </w:rPr>
        <w:t xml:space="preserve">, </w:t>
      </w:r>
      <w:r w:rsidRPr="00FD4E60">
        <w:rPr>
          <w:rFonts w:ascii="Times New Roman" w:hAnsi="Times New Roman" w:cs="Times New Roman"/>
          <w:i/>
          <w:iCs/>
          <w:sz w:val="24"/>
        </w:rPr>
        <w:t>158</w:t>
      </w:r>
      <w:r w:rsidRPr="00FD4E60">
        <w:rPr>
          <w:rFonts w:ascii="Times New Roman" w:hAnsi="Times New Roman" w:cs="Times New Roman"/>
          <w:sz w:val="24"/>
        </w:rPr>
        <w:t>, 112559.</w:t>
      </w:r>
    </w:p>
    <w:p w14:paraId="303CE830" w14:textId="2F3444E5" w:rsidR="00686F1D" w:rsidRPr="00686F1D" w:rsidRDefault="00686F1D" w:rsidP="00FD4E60">
      <w:pPr>
        <w:rPr>
          <w:rFonts w:ascii="Times New Roman" w:hAnsi="Times New Roman" w:cs="Times New Roman"/>
          <w:sz w:val="24"/>
          <w:szCs w:val="24"/>
        </w:rPr>
      </w:pPr>
      <w:r>
        <w:rPr>
          <w:rFonts w:ascii="Times New Roman" w:hAnsi="Times New Roman" w:cs="Times New Roman"/>
          <w:sz w:val="24"/>
          <w:szCs w:val="24"/>
        </w:rPr>
        <w:fldChar w:fldCharType="end"/>
      </w:r>
    </w:p>
    <w:sectPr w:rsidR="00686F1D" w:rsidRPr="00686F1D" w:rsidSect="00E43CCA">
      <w:pgSz w:w="12240" w:h="15840"/>
      <w:pgMar w:top="2304" w:right="1411" w:bottom="1526" w:left="141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ănase Tasențe" w:date="2023-04-22T16:17:00Z" w:initials="TT">
    <w:p w14:paraId="190ED43D" w14:textId="77777777" w:rsidR="00E93A34" w:rsidRDefault="00E93A34" w:rsidP="00BE2F09">
      <w:pPr>
        <w:pStyle w:val="CommentText"/>
        <w:ind w:firstLine="0"/>
        <w:jc w:val="left"/>
      </w:pPr>
      <w:r>
        <w:rPr>
          <w:rStyle w:val="CommentReference"/>
        </w:rPr>
        <w:annotationRef/>
      </w:r>
      <w:r>
        <w:t>citat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ED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8701" w16cex:dateUtc="2023-04-22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ED43D" w16cid:durableId="27EE8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C5D"/>
    <w:multiLevelType w:val="multilevel"/>
    <w:tmpl w:val="98C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1019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ănase Tasențe">
    <w15:presenceInfo w15:providerId="AD" w15:userId="S::tanase.tasente@365.univ-ovidius.ro::c642fcae-dc09-428f-a2b2-c62b3da75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F7"/>
    <w:rsid w:val="00050E38"/>
    <w:rsid w:val="00180CE5"/>
    <w:rsid w:val="002277F5"/>
    <w:rsid w:val="00512F95"/>
    <w:rsid w:val="00550FB3"/>
    <w:rsid w:val="00585DF7"/>
    <w:rsid w:val="00686F1D"/>
    <w:rsid w:val="006E4321"/>
    <w:rsid w:val="00975976"/>
    <w:rsid w:val="009A5E39"/>
    <w:rsid w:val="00A93E55"/>
    <w:rsid w:val="00AB1379"/>
    <w:rsid w:val="00B97DFF"/>
    <w:rsid w:val="00CE7902"/>
    <w:rsid w:val="00E43CCA"/>
    <w:rsid w:val="00E93A34"/>
    <w:rsid w:val="00FD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D502"/>
  <w15:chartTrackingRefBased/>
  <w15:docId w15:val="{C7F61328-D5AF-40C8-8331-7F0CB2DB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77F5"/>
    <w:pPr>
      <w:spacing w:before="100" w:beforeAutospacing="1" w:after="100" w:afterAutospacing="1"/>
      <w:ind w:firstLine="0"/>
      <w:jc w:val="left"/>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86F1D"/>
    <w:pPr>
      <w:spacing w:line="480" w:lineRule="auto"/>
      <w:ind w:left="720" w:hanging="720"/>
    </w:pPr>
  </w:style>
  <w:style w:type="character" w:customStyle="1" w:styleId="Heading4Char">
    <w:name w:val="Heading 4 Char"/>
    <w:basedOn w:val="DefaultParagraphFont"/>
    <w:link w:val="Heading4"/>
    <w:uiPriority w:val="9"/>
    <w:rsid w:val="002277F5"/>
    <w:rPr>
      <w:rFonts w:ascii="Times New Roman" w:eastAsia="Times New Roman" w:hAnsi="Times New Roman" w:cs="Times New Roman"/>
      <w:b/>
      <w:bCs/>
      <w:kern w:val="0"/>
      <w:sz w:val="24"/>
      <w:szCs w:val="24"/>
      <w14:ligatures w14:val="none"/>
    </w:rPr>
  </w:style>
  <w:style w:type="character" w:styleId="CommentReference">
    <w:name w:val="annotation reference"/>
    <w:basedOn w:val="DefaultParagraphFont"/>
    <w:uiPriority w:val="99"/>
    <w:semiHidden/>
    <w:unhideWhenUsed/>
    <w:rsid w:val="00E93A34"/>
    <w:rPr>
      <w:sz w:val="16"/>
      <w:szCs w:val="16"/>
    </w:rPr>
  </w:style>
  <w:style w:type="paragraph" w:styleId="CommentText">
    <w:name w:val="annotation text"/>
    <w:basedOn w:val="Normal"/>
    <w:link w:val="CommentTextChar"/>
    <w:uiPriority w:val="99"/>
    <w:unhideWhenUsed/>
    <w:rsid w:val="00E93A34"/>
    <w:rPr>
      <w:sz w:val="20"/>
      <w:szCs w:val="20"/>
    </w:rPr>
  </w:style>
  <w:style w:type="character" w:customStyle="1" w:styleId="CommentTextChar">
    <w:name w:val="Comment Text Char"/>
    <w:basedOn w:val="DefaultParagraphFont"/>
    <w:link w:val="CommentText"/>
    <w:uiPriority w:val="99"/>
    <w:rsid w:val="00E93A34"/>
    <w:rPr>
      <w:sz w:val="20"/>
      <w:szCs w:val="20"/>
    </w:rPr>
  </w:style>
  <w:style w:type="paragraph" w:styleId="CommentSubject">
    <w:name w:val="annotation subject"/>
    <w:basedOn w:val="CommentText"/>
    <w:next w:val="CommentText"/>
    <w:link w:val="CommentSubjectChar"/>
    <w:uiPriority w:val="99"/>
    <w:semiHidden/>
    <w:unhideWhenUsed/>
    <w:rsid w:val="00E93A34"/>
    <w:rPr>
      <w:b/>
      <w:bCs/>
    </w:rPr>
  </w:style>
  <w:style w:type="character" w:customStyle="1" w:styleId="CommentSubjectChar">
    <w:name w:val="Comment Subject Char"/>
    <w:basedOn w:val="CommentTextChar"/>
    <w:link w:val="CommentSubject"/>
    <w:uiPriority w:val="99"/>
    <w:semiHidden/>
    <w:rsid w:val="00E93A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2432">
      <w:bodyDiv w:val="1"/>
      <w:marLeft w:val="0"/>
      <w:marRight w:val="0"/>
      <w:marTop w:val="0"/>
      <w:marBottom w:val="0"/>
      <w:divBdr>
        <w:top w:val="none" w:sz="0" w:space="0" w:color="auto"/>
        <w:left w:val="none" w:sz="0" w:space="0" w:color="auto"/>
        <w:bottom w:val="none" w:sz="0" w:space="0" w:color="auto"/>
        <w:right w:val="none" w:sz="0" w:space="0" w:color="auto"/>
      </w:divBdr>
    </w:div>
    <w:div w:id="181936927">
      <w:bodyDiv w:val="1"/>
      <w:marLeft w:val="0"/>
      <w:marRight w:val="0"/>
      <w:marTop w:val="0"/>
      <w:marBottom w:val="0"/>
      <w:divBdr>
        <w:top w:val="none" w:sz="0" w:space="0" w:color="auto"/>
        <w:left w:val="none" w:sz="0" w:space="0" w:color="auto"/>
        <w:bottom w:val="none" w:sz="0" w:space="0" w:color="auto"/>
        <w:right w:val="none" w:sz="0" w:space="0" w:color="auto"/>
      </w:divBdr>
    </w:div>
    <w:div w:id="274606958">
      <w:bodyDiv w:val="1"/>
      <w:marLeft w:val="0"/>
      <w:marRight w:val="0"/>
      <w:marTop w:val="0"/>
      <w:marBottom w:val="0"/>
      <w:divBdr>
        <w:top w:val="none" w:sz="0" w:space="0" w:color="auto"/>
        <w:left w:val="none" w:sz="0" w:space="0" w:color="auto"/>
        <w:bottom w:val="none" w:sz="0" w:space="0" w:color="auto"/>
        <w:right w:val="none" w:sz="0" w:space="0" w:color="auto"/>
      </w:divBdr>
      <w:divsChild>
        <w:div w:id="567301780">
          <w:marLeft w:val="0"/>
          <w:marRight w:val="108"/>
          <w:marTop w:val="18"/>
          <w:marBottom w:val="108"/>
          <w:divBdr>
            <w:top w:val="none" w:sz="0" w:space="0" w:color="auto"/>
            <w:left w:val="none" w:sz="0" w:space="0" w:color="auto"/>
            <w:bottom w:val="none" w:sz="0" w:space="0" w:color="auto"/>
            <w:right w:val="none" w:sz="0" w:space="0" w:color="auto"/>
          </w:divBdr>
          <w:divsChild>
            <w:div w:id="290480970">
              <w:marLeft w:val="0"/>
              <w:marRight w:val="0"/>
              <w:marTop w:val="0"/>
              <w:marBottom w:val="0"/>
              <w:divBdr>
                <w:top w:val="none" w:sz="0" w:space="0" w:color="auto"/>
                <w:left w:val="none" w:sz="0" w:space="0" w:color="auto"/>
                <w:bottom w:val="none" w:sz="0" w:space="0" w:color="auto"/>
                <w:right w:val="none" w:sz="0" w:space="0" w:color="auto"/>
              </w:divBdr>
              <w:divsChild>
                <w:div w:id="20134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4059">
      <w:bodyDiv w:val="1"/>
      <w:marLeft w:val="0"/>
      <w:marRight w:val="0"/>
      <w:marTop w:val="0"/>
      <w:marBottom w:val="0"/>
      <w:divBdr>
        <w:top w:val="none" w:sz="0" w:space="0" w:color="auto"/>
        <w:left w:val="none" w:sz="0" w:space="0" w:color="auto"/>
        <w:bottom w:val="none" w:sz="0" w:space="0" w:color="auto"/>
        <w:right w:val="none" w:sz="0" w:space="0" w:color="auto"/>
      </w:divBdr>
      <w:divsChild>
        <w:div w:id="209221322">
          <w:marLeft w:val="0"/>
          <w:marRight w:val="0"/>
          <w:marTop w:val="0"/>
          <w:marBottom w:val="0"/>
          <w:divBdr>
            <w:top w:val="single" w:sz="2" w:space="0" w:color="auto"/>
            <w:left w:val="single" w:sz="2" w:space="0" w:color="auto"/>
            <w:bottom w:val="single" w:sz="6" w:space="0" w:color="auto"/>
            <w:right w:val="single" w:sz="2" w:space="0" w:color="auto"/>
          </w:divBdr>
          <w:divsChild>
            <w:div w:id="1655405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256757">
                  <w:marLeft w:val="0"/>
                  <w:marRight w:val="0"/>
                  <w:marTop w:val="0"/>
                  <w:marBottom w:val="0"/>
                  <w:divBdr>
                    <w:top w:val="single" w:sz="2" w:space="0" w:color="D9D9E3"/>
                    <w:left w:val="single" w:sz="2" w:space="0" w:color="D9D9E3"/>
                    <w:bottom w:val="single" w:sz="2" w:space="0" w:color="D9D9E3"/>
                    <w:right w:val="single" w:sz="2" w:space="0" w:color="D9D9E3"/>
                  </w:divBdr>
                  <w:divsChild>
                    <w:div w:id="1560365538">
                      <w:marLeft w:val="0"/>
                      <w:marRight w:val="0"/>
                      <w:marTop w:val="0"/>
                      <w:marBottom w:val="0"/>
                      <w:divBdr>
                        <w:top w:val="single" w:sz="2" w:space="0" w:color="D9D9E3"/>
                        <w:left w:val="single" w:sz="2" w:space="0" w:color="D9D9E3"/>
                        <w:bottom w:val="single" w:sz="2" w:space="0" w:color="D9D9E3"/>
                        <w:right w:val="single" w:sz="2" w:space="0" w:color="D9D9E3"/>
                      </w:divBdr>
                      <w:divsChild>
                        <w:div w:id="712583550">
                          <w:marLeft w:val="0"/>
                          <w:marRight w:val="0"/>
                          <w:marTop w:val="0"/>
                          <w:marBottom w:val="0"/>
                          <w:divBdr>
                            <w:top w:val="single" w:sz="2" w:space="0" w:color="D9D9E3"/>
                            <w:left w:val="single" w:sz="2" w:space="0" w:color="D9D9E3"/>
                            <w:bottom w:val="single" w:sz="2" w:space="0" w:color="D9D9E3"/>
                            <w:right w:val="single" w:sz="2" w:space="0" w:color="D9D9E3"/>
                          </w:divBdr>
                          <w:divsChild>
                            <w:div w:id="51322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3841116">
          <w:marLeft w:val="0"/>
          <w:marRight w:val="0"/>
          <w:marTop w:val="0"/>
          <w:marBottom w:val="0"/>
          <w:divBdr>
            <w:top w:val="single" w:sz="2" w:space="0" w:color="auto"/>
            <w:left w:val="single" w:sz="2" w:space="0" w:color="auto"/>
            <w:bottom w:val="single" w:sz="6" w:space="0" w:color="auto"/>
            <w:right w:val="single" w:sz="2" w:space="0" w:color="auto"/>
          </w:divBdr>
          <w:divsChild>
            <w:div w:id="26550373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788854">
                  <w:marLeft w:val="0"/>
                  <w:marRight w:val="0"/>
                  <w:marTop w:val="0"/>
                  <w:marBottom w:val="0"/>
                  <w:divBdr>
                    <w:top w:val="single" w:sz="2" w:space="0" w:color="D9D9E3"/>
                    <w:left w:val="single" w:sz="2" w:space="0" w:color="D9D9E3"/>
                    <w:bottom w:val="single" w:sz="2" w:space="0" w:color="D9D9E3"/>
                    <w:right w:val="single" w:sz="2" w:space="0" w:color="D9D9E3"/>
                  </w:divBdr>
                  <w:divsChild>
                    <w:div w:id="120671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179261">
                  <w:marLeft w:val="0"/>
                  <w:marRight w:val="0"/>
                  <w:marTop w:val="0"/>
                  <w:marBottom w:val="0"/>
                  <w:divBdr>
                    <w:top w:val="single" w:sz="2" w:space="0" w:color="D9D9E3"/>
                    <w:left w:val="single" w:sz="2" w:space="0" w:color="D9D9E3"/>
                    <w:bottom w:val="single" w:sz="2" w:space="0" w:color="D9D9E3"/>
                    <w:right w:val="single" w:sz="2" w:space="0" w:color="D9D9E3"/>
                  </w:divBdr>
                  <w:divsChild>
                    <w:div w:id="1862352911">
                      <w:marLeft w:val="0"/>
                      <w:marRight w:val="0"/>
                      <w:marTop w:val="0"/>
                      <w:marBottom w:val="0"/>
                      <w:divBdr>
                        <w:top w:val="single" w:sz="2" w:space="0" w:color="D9D9E3"/>
                        <w:left w:val="single" w:sz="2" w:space="0" w:color="D9D9E3"/>
                        <w:bottom w:val="single" w:sz="2" w:space="0" w:color="D9D9E3"/>
                        <w:right w:val="single" w:sz="2" w:space="0" w:color="D9D9E3"/>
                      </w:divBdr>
                      <w:divsChild>
                        <w:div w:id="115553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243722">
          <w:marLeft w:val="0"/>
          <w:marRight w:val="0"/>
          <w:marTop w:val="0"/>
          <w:marBottom w:val="0"/>
          <w:divBdr>
            <w:top w:val="single" w:sz="2" w:space="0" w:color="auto"/>
            <w:left w:val="single" w:sz="2" w:space="0" w:color="auto"/>
            <w:bottom w:val="single" w:sz="6" w:space="0" w:color="auto"/>
            <w:right w:val="single" w:sz="2" w:space="0" w:color="auto"/>
          </w:divBdr>
          <w:divsChild>
            <w:div w:id="27683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524607">
                  <w:marLeft w:val="0"/>
                  <w:marRight w:val="0"/>
                  <w:marTop w:val="0"/>
                  <w:marBottom w:val="0"/>
                  <w:divBdr>
                    <w:top w:val="single" w:sz="2" w:space="0" w:color="D9D9E3"/>
                    <w:left w:val="single" w:sz="2" w:space="0" w:color="D9D9E3"/>
                    <w:bottom w:val="single" w:sz="2" w:space="0" w:color="D9D9E3"/>
                    <w:right w:val="single" w:sz="2" w:space="0" w:color="D9D9E3"/>
                  </w:divBdr>
                  <w:divsChild>
                    <w:div w:id="2141651780">
                      <w:marLeft w:val="0"/>
                      <w:marRight w:val="0"/>
                      <w:marTop w:val="0"/>
                      <w:marBottom w:val="0"/>
                      <w:divBdr>
                        <w:top w:val="single" w:sz="2" w:space="0" w:color="D9D9E3"/>
                        <w:left w:val="single" w:sz="2" w:space="0" w:color="D9D9E3"/>
                        <w:bottom w:val="single" w:sz="2" w:space="0" w:color="D9D9E3"/>
                        <w:right w:val="single" w:sz="2" w:space="0" w:color="D9D9E3"/>
                      </w:divBdr>
                      <w:divsChild>
                        <w:div w:id="1118766194">
                          <w:marLeft w:val="0"/>
                          <w:marRight w:val="0"/>
                          <w:marTop w:val="0"/>
                          <w:marBottom w:val="0"/>
                          <w:divBdr>
                            <w:top w:val="single" w:sz="2" w:space="0" w:color="D9D9E3"/>
                            <w:left w:val="single" w:sz="2" w:space="0" w:color="D9D9E3"/>
                            <w:bottom w:val="single" w:sz="2" w:space="0" w:color="D9D9E3"/>
                            <w:right w:val="single" w:sz="2" w:space="0" w:color="D9D9E3"/>
                          </w:divBdr>
                          <w:divsChild>
                            <w:div w:id="196669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9552504">
      <w:bodyDiv w:val="1"/>
      <w:marLeft w:val="0"/>
      <w:marRight w:val="0"/>
      <w:marTop w:val="0"/>
      <w:marBottom w:val="0"/>
      <w:divBdr>
        <w:top w:val="none" w:sz="0" w:space="0" w:color="auto"/>
        <w:left w:val="none" w:sz="0" w:space="0" w:color="auto"/>
        <w:bottom w:val="none" w:sz="0" w:space="0" w:color="auto"/>
        <w:right w:val="none" w:sz="0" w:space="0" w:color="auto"/>
      </w:divBdr>
    </w:div>
    <w:div w:id="791093046">
      <w:bodyDiv w:val="1"/>
      <w:marLeft w:val="0"/>
      <w:marRight w:val="0"/>
      <w:marTop w:val="0"/>
      <w:marBottom w:val="0"/>
      <w:divBdr>
        <w:top w:val="none" w:sz="0" w:space="0" w:color="auto"/>
        <w:left w:val="none" w:sz="0" w:space="0" w:color="auto"/>
        <w:bottom w:val="none" w:sz="0" w:space="0" w:color="auto"/>
        <w:right w:val="none" w:sz="0" w:space="0" w:color="auto"/>
      </w:divBdr>
    </w:div>
    <w:div w:id="845633693">
      <w:bodyDiv w:val="1"/>
      <w:marLeft w:val="0"/>
      <w:marRight w:val="0"/>
      <w:marTop w:val="0"/>
      <w:marBottom w:val="0"/>
      <w:divBdr>
        <w:top w:val="none" w:sz="0" w:space="0" w:color="auto"/>
        <w:left w:val="none" w:sz="0" w:space="0" w:color="auto"/>
        <w:bottom w:val="none" w:sz="0" w:space="0" w:color="auto"/>
        <w:right w:val="none" w:sz="0" w:space="0" w:color="auto"/>
      </w:divBdr>
      <w:divsChild>
        <w:div w:id="715852612">
          <w:marLeft w:val="0"/>
          <w:marRight w:val="108"/>
          <w:marTop w:val="18"/>
          <w:marBottom w:val="108"/>
          <w:divBdr>
            <w:top w:val="none" w:sz="0" w:space="0" w:color="auto"/>
            <w:left w:val="none" w:sz="0" w:space="0" w:color="auto"/>
            <w:bottom w:val="none" w:sz="0" w:space="0" w:color="auto"/>
            <w:right w:val="none" w:sz="0" w:space="0" w:color="auto"/>
          </w:divBdr>
          <w:divsChild>
            <w:div w:id="2140226636">
              <w:marLeft w:val="0"/>
              <w:marRight w:val="0"/>
              <w:marTop w:val="0"/>
              <w:marBottom w:val="0"/>
              <w:divBdr>
                <w:top w:val="none" w:sz="0" w:space="0" w:color="auto"/>
                <w:left w:val="none" w:sz="0" w:space="0" w:color="auto"/>
                <w:bottom w:val="none" w:sz="0" w:space="0" w:color="auto"/>
                <w:right w:val="none" w:sz="0" w:space="0" w:color="auto"/>
              </w:divBdr>
              <w:divsChild>
                <w:div w:id="11793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190">
      <w:bodyDiv w:val="1"/>
      <w:marLeft w:val="0"/>
      <w:marRight w:val="0"/>
      <w:marTop w:val="0"/>
      <w:marBottom w:val="0"/>
      <w:divBdr>
        <w:top w:val="none" w:sz="0" w:space="0" w:color="auto"/>
        <w:left w:val="none" w:sz="0" w:space="0" w:color="auto"/>
        <w:bottom w:val="none" w:sz="0" w:space="0" w:color="auto"/>
        <w:right w:val="none" w:sz="0" w:space="0" w:color="auto"/>
      </w:divBdr>
      <w:divsChild>
        <w:div w:id="1293633660">
          <w:marLeft w:val="0"/>
          <w:marRight w:val="108"/>
          <w:marTop w:val="18"/>
          <w:marBottom w:val="108"/>
          <w:divBdr>
            <w:top w:val="none" w:sz="0" w:space="0" w:color="auto"/>
            <w:left w:val="none" w:sz="0" w:space="0" w:color="auto"/>
            <w:bottom w:val="none" w:sz="0" w:space="0" w:color="auto"/>
            <w:right w:val="none" w:sz="0" w:space="0" w:color="auto"/>
          </w:divBdr>
          <w:divsChild>
            <w:div w:id="495532875">
              <w:marLeft w:val="0"/>
              <w:marRight w:val="0"/>
              <w:marTop w:val="0"/>
              <w:marBottom w:val="0"/>
              <w:divBdr>
                <w:top w:val="none" w:sz="0" w:space="0" w:color="auto"/>
                <w:left w:val="none" w:sz="0" w:space="0" w:color="auto"/>
                <w:bottom w:val="none" w:sz="0" w:space="0" w:color="auto"/>
                <w:right w:val="none" w:sz="0" w:space="0" w:color="auto"/>
              </w:divBdr>
              <w:divsChild>
                <w:div w:id="730277571">
                  <w:marLeft w:val="0"/>
                  <w:marRight w:val="0"/>
                  <w:marTop w:val="0"/>
                  <w:marBottom w:val="0"/>
                  <w:divBdr>
                    <w:top w:val="none" w:sz="0" w:space="0" w:color="auto"/>
                    <w:left w:val="none" w:sz="0" w:space="0" w:color="auto"/>
                    <w:bottom w:val="none" w:sz="0" w:space="0" w:color="auto"/>
                    <w:right w:val="none" w:sz="0" w:space="0" w:color="auto"/>
                  </w:divBdr>
                  <w:divsChild>
                    <w:div w:id="372196751">
                      <w:marLeft w:val="0"/>
                      <w:marRight w:val="0"/>
                      <w:marTop w:val="0"/>
                      <w:marBottom w:val="0"/>
                      <w:divBdr>
                        <w:top w:val="none" w:sz="0" w:space="0" w:color="auto"/>
                        <w:left w:val="none" w:sz="0" w:space="0" w:color="auto"/>
                        <w:bottom w:val="none" w:sz="0" w:space="0" w:color="auto"/>
                        <w:right w:val="none" w:sz="0" w:space="0" w:color="auto"/>
                      </w:divBdr>
                      <w:divsChild>
                        <w:div w:id="18938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7751">
      <w:bodyDiv w:val="1"/>
      <w:marLeft w:val="0"/>
      <w:marRight w:val="0"/>
      <w:marTop w:val="0"/>
      <w:marBottom w:val="0"/>
      <w:divBdr>
        <w:top w:val="none" w:sz="0" w:space="0" w:color="auto"/>
        <w:left w:val="none" w:sz="0" w:space="0" w:color="auto"/>
        <w:bottom w:val="none" w:sz="0" w:space="0" w:color="auto"/>
        <w:right w:val="none" w:sz="0" w:space="0" w:color="auto"/>
      </w:divBdr>
    </w:div>
    <w:div w:id="1603876496">
      <w:bodyDiv w:val="1"/>
      <w:marLeft w:val="0"/>
      <w:marRight w:val="0"/>
      <w:marTop w:val="0"/>
      <w:marBottom w:val="0"/>
      <w:divBdr>
        <w:top w:val="none" w:sz="0" w:space="0" w:color="auto"/>
        <w:left w:val="none" w:sz="0" w:space="0" w:color="auto"/>
        <w:bottom w:val="none" w:sz="0" w:space="0" w:color="auto"/>
        <w:right w:val="none" w:sz="0" w:space="0" w:color="auto"/>
      </w:divBdr>
    </w:div>
    <w:div w:id="1620531149">
      <w:bodyDiv w:val="1"/>
      <w:marLeft w:val="0"/>
      <w:marRight w:val="0"/>
      <w:marTop w:val="0"/>
      <w:marBottom w:val="0"/>
      <w:divBdr>
        <w:top w:val="none" w:sz="0" w:space="0" w:color="auto"/>
        <w:left w:val="none" w:sz="0" w:space="0" w:color="auto"/>
        <w:bottom w:val="none" w:sz="0" w:space="0" w:color="auto"/>
        <w:right w:val="none" w:sz="0" w:space="0" w:color="auto"/>
      </w:divBdr>
      <w:divsChild>
        <w:div w:id="1710060821">
          <w:marLeft w:val="0"/>
          <w:marRight w:val="108"/>
          <w:marTop w:val="18"/>
          <w:marBottom w:val="108"/>
          <w:divBdr>
            <w:top w:val="none" w:sz="0" w:space="0" w:color="auto"/>
            <w:left w:val="none" w:sz="0" w:space="0" w:color="auto"/>
            <w:bottom w:val="none" w:sz="0" w:space="0" w:color="auto"/>
            <w:right w:val="none" w:sz="0" w:space="0" w:color="auto"/>
          </w:divBdr>
          <w:divsChild>
            <w:div w:id="2008432680">
              <w:marLeft w:val="0"/>
              <w:marRight w:val="0"/>
              <w:marTop w:val="0"/>
              <w:marBottom w:val="0"/>
              <w:divBdr>
                <w:top w:val="none" w:sz="0" w:space="0" w:color="auto"/>
                <w:left w:val="none" w:sz="0" w:space="0" w:color="auto"/>
                <w:bottom w:val="none" w:sz="0" w:space="0" w:color="auto"/>
                <w:right w:val="none" w:sz="0" w:space="0" w:color="auto"/>
              </w:divBdr>
              <w:divsChild>
                <w:div w:id="284192715">
                  <w:marLeft w:val="0"/>
                  <w:marRight w:val="0"/>
                  <w:marTop w:val="0"/>
                  <w:marBottom w:val="0"/>
                  <w:divBdr>
                    <w:top w:val="none" w:sz="0" w:space="0" w:color="auto"/>
                    <w:left w:val="none" w:sz="0" w:space="0" w:color="auto"/>
                    <w:bottom w:val="none" w:sz="0" w:space="0" w:color="auto"/>
                    <w:right w:val="none" w:sz="0" w:space="0" w:color="auto"/>
                  </w:divBdr>
                  <w:divsChild>
                    <w:div w:id="982656191">
                      <w:marLeft w:val="0"/>
                      <w:marRight w:val="0"/>
                      <w:marTop w:val="0"/>
                      <w:marBottom w:val="0"/>
                      <w:divBdr>
                        <w:top w:val="none" w:sz="0" w:space="0" w:color="auto"/>
                        <w:left w:val="none" w:sz="0" w:space="0" w:color="auto"/>
                        <w:bottom w:val="none" w:sz="0" w:space="0" w:color="auto"/>
                        <w:right w:val="none" w:sz="0" w:space="0" w:color="auto"/>
                      </w:divBdr>
                      <w:divsChild>
                        <w:div w:id="10345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52346">
      <w:bodyDiv w:val="1"/>
      <w:marLeft w:val="0"/>
      <w:marRight w:val="0"/>
      <w:marTop w:val="0"/>
      <w:marBottom w:val="0"/>
      <w:divBdr>
        <w:top w:val="none" w:sz="0" w:space="0" w:color="auto"/>
        <w:left w:val="none" w:sz="0" w:space="0" w:color="auto"/>
        <w:bottom w:val="none" w:sz="0" w:space="0" w:color="auto"/>
        <w:right w:val="none" w:sz="0" w:space="0" w:color="auto"/>
      </w:divBdr>
    </w:div>
    <w:div w:id="1902132838">
      <w:bodyDiv w:val="1"/>
      <w:marLeft w:val="0"/>
      <w:marRight w:val="0"/>
      <w:marTop w:val="0"/>
      <w:marBottom w:val="0"/>
      <w:divBdr>
        <w:top w:val="none" w:sz="0" w:space="0" w:color="auto"/>
        <w:left w:val="none" w:sz="0" w:space="0" w:color="auto"/>
        <w:bottom w:val="none" w:sz="0" w:space="0" w:color="auto"/>
        <w:right w:val="none" w:sz="0" w:space="0" w:color="auto"/>
      </w:divBdr>
    </w:div>
    <w:div w:id="1941446161">
      <w:bodyDiv w:val="1"/>
      <w:marLeft w:val="0"/>
      <w:marRight w:val="0"/>
      <w:marTop w:val="0"/>
      <w:marBottom w:val="0"/>
      <w:divBdr>
        <w:top w:val="none" w:sz="0" w:space="0" w:color="auto"/>
        <w:left w:val="none" w:sz="0" w:space="0" w:color="auto"/>
        <w:bottom w:val="none" w:sz="0" w:space="0" w:color="auto"/>
        <w:right w:val="none" w:sz="0" w:space="0" w:color="auto"/>
      </w:divBdr>
      <w:divsChild>
        <w:div w:id="1599631654">
          <w:marLeft w:val="0"/>
          <w:marRight w:val="108"/>
          <w:marTop w:val="18"/>
          <w:marBottom w:val="108"/>
          <w:divBdr>
            <w:top w:val="none" w:sz="0" w:space="0" w:color="auto"/>
            <w:left w:val="none" w:sz="0" w:space="0" w:color="auto"/>
            <w:bottom w:val="none" w:sz="0" w:space="0" w:color="auto"/>
            <w:right w:val="none" w:sz="0" w:space="0" w:color="auto"/>
          </w:divBdr>
          <w:divsChild>
            <w:div w:id="79103783">
              <w:marLeft w:val="0"/>
              <w:marRight w:val="0"/>
              <w:marTop w:val="0"/>
              <w:marBottom w:val="0"/>
              <w:divBdr>
                <w:top w:val="none" w:sz="0" w:space="0" w:color="auto"/>
                <w:left w:val="none" w:sz="0" w:space="0" w:color="auto"/>
                <w:bottom w:val="none" w:sz="0" w:space="0" w:color="auto"/>
                <w:right w:val="none" w:sz="0" w:space="0" w:color="auto"/>
              </w:divBdr>
              <w:divsChild>
                <w:div w:id="1148400003">
                  <w:marLeft w:val="0"/>
                  <w:marRight w:val="0"/>
                  <w:marTop w:val="0"/>
                  <w:marBottom w:val="0"/>
                  <w:divBdr>
                    <w:top w:val="none" w:sz="0" w:space="0" w:color="auto"/>
                    <w:left w:val="none" w:sz="0" w:space="0" w:color="auto"/>
                    <w:bottom w:val="none" w:sz="0" w:space="0" w:color="auto"/>
                    <w:right w:val="none" w:sz="0" w:space="0" w:color="auto"/>
                  </w:divBdr>
                  <w:divsChild>
                    <w:div w:id="813715102">
                      <w:marLeft w:val="0"/>
                      <w:marRight w:val="0"/>
                      <w:marTop w:val="0"/>
                      <w:marBottom w:val="0"/>
                      <w:divBdr>
                        <w:top w:val="none" w:sz="0" w:space="0" w:color="auto"/>
                        <w:left w:val="none" w:sz="0" w:space="0" w:color="auto"/>
                        <w:bottom w:val="none" w:sz="0" w:space="0" w:color="auto"/>
                        <w:right w:val="none" w:sz="0" w:space="0" w:color="auto"/>
                      </w:divBdr>
                      <w:divsChild>
                        <w:div w:id="1375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9178">
      <w:bodyDiv w:val="1"/>
      <w:marLeft w:val="0"/>
      <w:marRight w:val="0"/>
      <w:marTop w:val="0"/>
      <w:marBottom w:val="0"/>
      <w:divBdr>
        <w:top w:val="none" w:sz="0" w:space="0" w:color="auto"/>
        <w:left w:val="none" w:sz="0" w:space="0" w:color="auto"/>
        <w:bottom w:val="none" w:sz="0" w:space="0" w:color="auto"/>
        <w:right w:val="none" w:sz="0" w:space="0" w:color="auto"/>
      </w:divBdr>
    </w:div>
    <w:div w:id="21357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4775</Words>
  <Characters>27221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Tănase Tasențe</dc:creator>
  <cp:keywords/>
  <dc:description/>
  <cp:lastModifiedBy>Tănase Tasențe</cp:lastModifiedBy>
  <cp:revision>9</cp:revision>
  <dcterms:created xsi:type="dcterms:W3CDTF">2023-04-21T16:05:00Z</dcterms:created>
  <dcterms:modified xsi:type="dcterms:W3CDTF">2023-04-22T13:19:00Z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id="Zd2gWSPm"/&gt;&lt;style id="http://www.zotero.org/styles/apa" locale="en-US" hasBibliography="1" bibliographyStyleHasBeenSet="1"/&gt;&lt;prefs&gt;&lt;pref name="fieldType" value="Field"/&gt;&lt;/prefs&gt;&lt;/data&gt;</vt:lpwstr>
  </property>
</Properties>
</file>