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iryo" w:cs="Meiryo" w:eastAsia="Meiryo" w:hAnsi="Meiryo"/>
          <w:b w:val="1"/>
          <w:color w:val="c0504d"/>
          <w:sz w:val="96"/>
          <w:szCs w:val="96"/>
        </w:rPr>
      </w:pPr>
      <w:r w:rsidDel="00000000" w:rsidR="00000000" w:rsidRPr="00000000">
        <w:rPr>
          <w:rFonts w:ascii="Meiryo" w:cs="Meiryo" w:eastAsia="Meiryo" w:hAnsi="Meiryo"/>
          <w:b w:val="1"/>
          <w:color w:val="c0504d"/>
          <w:sz w:val="96"/>
          <w:szCs w:val="96"/>
          <w:rtl w:val="0"/>
        </w:rPr>
        <w:t xml:space="preserve">[アプリタイトル]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iryo" w:cs="Meiryo" w:eastAsia="Meiryo" w:hAnsi="Meiryo"/>
          <w:b w:val="1"/>
          <w:sz w:val="96"/>
          <w:szCs w:val="96"/>
        </w:rPr>
      </w:pPr>
      <w:r w:rsidDel="00000000" w:rsidR="00000000" w:rsidRPr="00000000">
        <w:rPr>
          <w:rFonts w:ascii="Meiryo" w:cs="Meiryo" w:eastAsia="Meiryo" w:hAnsi="Meiryo"/>
          <w:b w:val="1"/>
          <w:sz w:val="96"/>
          <w:szCs w:val="96"/>
          <w:rtl w:val="0"/>
        </w:rPr>
        <w:t xml:space="preserve">要件定義書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チーム名：</w:t>
      </w:r>
      <w:r w:rsidDel="00000000" w:rsidR="00000000" w:rsidRPr="00000000">
        <w:rPr>
          <w:color w:val="c0504d"/>
          <w:rtl w:val="0"/>
        </w:rPr>
        <w:t xml:space="preserve">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2024年6月5日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第１版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改訂履歴</w:t>
      </w:r>
    </w:p>
    <w:tbl>
      <w:tblPr>
        <w:tblStyle w:val="Table1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9"/>
        <w:gridCol w:w="1559"/>
        <w:gridCol w:w="1701"/>
        <w:gridCol w:w="4501"/>
        <w:tblGridChange w:id="0">
          <w:tblGrid>
            <w:gridCol w:w="959"/>
            <w:gridCol w:w="1559"/>
            <w:gridCol w:w="1701"/>
            <w:gridCol w:w="4501"/>
          </w:tblGrid>
        </w:tblGridChange>
      </w:tblGrid>
      <w:tr>
        <w:trPr>
          <w:cantSplit w:val="0"/>
          <w:tblHeader w:val="0"/>
        </w:trPr>
        <w:tc>
          <w:tcPr>
            <w:shd w:fill="d7e3bc" w:val="clear"/>
          </w:tcPr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版数</w:t>
            </w:r>
          </w:p>
        </w:tc>
        <w:tc>
          <w:tcPr>
            <w:shd w:fill="d7e3bc" w:val="clear"/>
          </w:tcPr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日付</w:t>
            </w:r>
          </w:p>
        </w:tc>
        <w:tc>
          <w:tcPr>
            <w:shd w:fill="d7e3bc" w:val="clear"/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担当者名</w:t>
            </w:r>
          </w:p>
        </w:tc>
        <w:tc>
          <w:tcPr>
            <w:shd w:fill="d7e3bc" w:val="clear"/>
          </w:tcPr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備考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rPr>
                <w:color w:val="c0504d"/>
              </w:rPr>
            </w:pPr>
            <w:r w:rsidDel="00000000" w:rsidR="00000000" w:rsidRPr="00000000">
              <w:rPr>
                <w:color w:val="c0504d"/>
                <w:rtl w:val="0"/>
              </w:rPr>
              <w:t xml:space="preserve">2024/06/05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1"/>
              <w:rPr>
                <w:color w:val="c0504d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c0504d"/>
                <w:rtl w:val="0"/>
              </w:rPr>
              <w:t xml:space="preserve">氏名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新規作成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2105" w:hanging="425"/>
        <w:rPr/>
      </w:pPr>
      <w:r w:rsidDel="00000000" w:rsidR="00000000" w:rsidRPr="00000000">
        <w:rPr>
          <w:rtl w:val="0"/>
        </w:rPr>
        <w:t xml:space="preserve">概要</w:t>
      </w:r>
    </w:p>
    <w:p w:rsidR="00000000" w:rsidDel="00000000" w:rsidP="00000000" w:rsidRDefault="00000000" w:rsidRPr="00000000" w14:paraId="00000041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以下に、社内コミュニケーションツール「</w:t>
      </w:r>
      <w:r w:rsidDel="00000000" w:rsidR="00000000" w:rsidRPr="00000000">
        <w:rPr>
          <w:color w:val="ff0000"/>
          <w:rtl w:val="0"/>
        </w:rPr>
        <w:t xml:space="preserve">○○○○○○○○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」（以下、本システム）開発に関する概要を示す。</w:t>
      </w:r>
    </w:p>
    <w:p w:rsidR="00000000" w:rsidDel="00000000" w:rsidP="00000000" w:rsidRDefault="00000000" w:rsidRPr="00000000" w14:paraId="00000042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ind w:left="2531" w:hanging="425.9999999999999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システム開発の背景</w:t>
      </w:r>
    </w:p>
    <w:p w:rsidR="00000000" w:rsidDel="00000000" w:rsidP="00000000" w:rsidRDefault="00000000" w:rsidRPr="00000000" w14:paraId="00000044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本システムは、DIV社が新規事業として立ち上げるB to Cサービス「」事業にて、キャラクター育成を楽しみながらビジネス上における円滑なコミュニケーションを実現するものである。</w:t>
      </w:r>
    </w:p>
    <w:p w:rsidR="00000000" w:rsidDel="00000000" w:rsidP="00000000" w:rsidRDefault="00000000" w:rsidRPr="00000000" w14:paraId="00000045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年額課金を行うことで収益化することを目的としている。</w:t>
      </w:r>
    </w:p>
    <w:p w:rsidR="00000000" w:rsidDel="00000000" w:rsidP="00000000" w:rsidRDefault="00000000" w:rsidRPr="00000000" w14:paraId="00000046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すでに競合サービスが存在することから、キャラクターの育成システム（ゲーム要素）を導入することによってユーザーの利用を促進する。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2531" w:hanging="425.9999999999999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システムの目的</w:t>
      </w:r>
    </w:p>
    <w:p w:rsidR="00000000" w:rsidDel="00000000" w:rsidP="00000000" w:rsidRDefault="00000000" w:rsidRPr="00000000" w14:paraId="0000004A">
      <w:pPr>
        <w:spacing w:line="240" w:lineRule="auto"/>
        <w:ind w:firstLine="24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本システムは、ユーザーの月額料金が主な収益源となる。サービス開始後、１年後の目標アカウント数は20,000件、月額480円を想定しており、有料会員は全体の3%を見込んでいるため、1年後には月額約28万円の売り上げを想定している。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　５年後の目標アカウントは200,000件となっており、３年後を目途に機能追加による月額料金プランの増加を行い、月額約900万円の売上高となる見込みである。</w:t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　200,000件のアカウントから想定される名刺数は2,000万枚であり、１日あたり最大5万枚の名刺データが登録・更新処理されることを想定している。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また、利用者による名刺の追加・編集だけでなく、名刺の検索についても、多くのステップを踏むと「面倒だ」と感じる可能性が高い。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　競合サービスが存在することからも、ログイン後、名刺追加までのステップは最短３クリックで登録完了となるようにする。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同様に、検索時には一覧表示画面表示後、入力・検索ボタン押下という２ステップで検索が完了するようにする。</w:t>
      </w:r>
    </w:p>
    <w:p w:rsidR="00000000" w:rsidDel="00000000" w:rsidP="00000000" w:rsidRDefault="00000000" w:rsidRPr="00000000" w14:paraId="00000050">
      <w:pPr>
        <w:spacing w:line="240" w:lineRule="auto"/>
        <w:ind w:firstLine="24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加えて、その最短ステップのルートが、訪問者に対して画面上で明確になっているものとする。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2531" w:hanging="425.9999999999999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システムの全体像、開発方針</w:t>
      </w:r>
    </w:p>
    <w:p w:rsidR="00000000" w:rsidDel="00000000" w:rsidP="00000000" w:rsidRDefault="00000000" w:rsidRPr="00000000" w14:paraId="00000055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ここに記述してください。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2105" w:hanging="425"/>
        <w:rPr/>
      </w:pPr>
      <w:r w:rsidDel="00000000" w:rsidR="00000000" w:rsidRPr="00000000">
        <w:rPr>
          <w:rtl w:val="0"/>
        </w:rPr>
        <w:t xml:space="preserve">システム要件</w:t>
      </w:r>
    </w:p>
    <w:p w:rsidR="00000000" w:rsidDel="00000000" w:rsidP="00000000" w:rsidRDefault="00000000" w:rsidRPr="00000000" w14:paraId="00000058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以下に、本システムの要件を示す。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2531" w:hanging="425.9999999999999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機能要件</w:t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1"/>
        </w:numPr>
        <w:ind w:left="2956" w:hanging="4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機能概要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本システムは、以下のように大きく</w:t>
      </w: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３つ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の機能を持つ。</w:t>
      </w:r>
    </w:p>
    <w:p w:rsidR="00000000" w:rsidDel="00000000" w:rsidP="00000000" w:rsidRDefault="00000000" w:rsidRPr="00000000" w14:paraId="0000005E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ここに記述してください。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それぞれの機能についての概要は以下の通り。</w:t>
      </w:r>
    </w:p>
    <w:p w:rsidR="00000000" w:rsidDel="00000000" w:rsidP="00000000" w:rsidRDefault="00000000" w:rsidRPr="00000000" w14:paraId="00000061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ここにそれぞれの機能について記載してください。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numPr>
          <w:ilvl w:val="2"/>
          <w:numId w:val="1"/>
        </w:numPr>
        <w:ind w:left="2956" w:hanging="4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機能詳細</w:t>
      </w:r>
    </w:p>
    <w:p w:rsidR="00000000" w:rsidDel="00000000" w:rsidP="00000000" w:rsidRDefault="00000000" w:rsidRPr="00000000" w14:paraId="0000006A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以下に、機能の詳細を示す。</w:t>
      </w:r>
    </w:p>
    <w:p w:rsidR="00000000" w:rsidDel="00000000" w:rsidP="00000000" w:rsidRDefault="00000000" w:rsidRPr="00000000" w14:paraId="0000006C">
      <w:pPr>
        <w:ind w:firstLine="24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機能詳細を記述する機能の一覧は以下の通り。</w:t>
      </w:r>
    </w:p>
    <w:p w:rsidR="00000000" w:rsidDel="00000000" w:rsidP="00000000" w:rsidRDefault="00000000" w:rsidRPr="00000000" w14:paraId="0000006D">
      <w:pPr>
        <w:ind w:firstLine="24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985"/>
        <w:gridCol w:w="4766"/>
        <w:tblGridChange w:id="0">
          <w:tblGrid>
            <w:gridCol w:w="1951"/>
            <w:gridCol w:w="1985"/>
            <w:gridCol w:w="4766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大項目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機能名</w:t>
            </w:r>
          </w:p>
        </w:tc>
        <w:tc>
          <w:tcPr>
            <w:shd w:fill="c2d69b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備考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大項目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840" w:firstLine="0"/>
        <w:rPr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機能名</w:t>
      </w:r>
      <w:r w:rsidDel="00000000" w:rsidR="00000000" w:rsidRPr="00000000">
        <w:rPr>
          <w:rtl w:val="0"/>
        </w:rPr>
      </w:r>
    </w:p>
    <w:tbl>
      <w:tblPr>
        <w:tblStyle w:val="Table3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609"/>
        <w:tblGridChange w:id="0">
          <w:tblGrid>
            <w:gridCol w:w="2093"/>
            <w:gridCol w:w="6609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機能名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概要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処理内容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想定利用者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備考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840" w:firstLine="0"/>
        <w:rPr/>
      </w:pP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機能名</w:t>
      </w:r>
      <w:r w:rsidDel="00000000" w:rsidR="00000000" w:rsidRPr="00000000">
        <w:rPr>
          <w:rtl w:val="0"/>
        </w:rPr>
      </w:r>
    </w:p>
    <w:tbl>
      <w:tblPr>
        <w:tblStyle w:val="Table4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609"/>
        <w:tblGridChange w:id="0">
          <w:tblGrid>
            <w:gridCol w:w="2093"/>
            <w:gridCol w:w="6609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機能名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概要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処理内容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想定利用者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備考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以下繰り返し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1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大項目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240"/>
        <w:rPr/>
      </w:pPr>
      <w:r w:rsidDel="00000000" w:rsidR="00000000" w:rsidRPr="00000000">
        <w:rPr>
          <w:rtl w:val="0"/>
        </w:rPr>
        <w:tab/>
        <w:t xml:space="preserve">2.1 </w:t>
      </w: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機能名</w:t>
      </w:r>
      <w:r w:rsidDel="00000000" w:rsidR="00000000" w:rsidRPr="00000000">
        <w:rPr>
          <w:rtl w:val="0"/>
        </w:rPr>
      </w:r>
    </w:p>
    <w:tbl>
      <w:tblPr>
        <w:tblStyle w:val="Table5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609"/>
        <w:tblGridChange w:id="0">
          <w:tblGrid>
            <w:gridCol w:w="2093"/>
            <w:gridCol w:w="6609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機能名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概要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処理内容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想定利用者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備考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840"/>
        <w:rPr/>
      </w:pP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機能名</w:t>
      </w:r>
      <w:r w:rsidDel="00000000" w:rsidR="00000000" w:rsidRPr="00000000">
        <w:rPr>
          <w:rtl w:val="0"/>
        </w:rPr>
      </w:r>
    </w:p>
    <w:tbl>
      <w:tblPr>
        <w:tblStyle w:val="Table6"/>
        <w:tblW w:w="87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609"/>
        <w:tblGridChange w:id="0">
          <w:tblGrid>
            <w:gridCol w:w="2093"/>
            <w:gridCol w:w="6609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機能名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概要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処理内容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想定利用者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2d69b" w:val="clea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備考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1"/>
        </w:numPr>
        <w:ind w:left="2531" w:hanging="425.9999999999999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非機能要件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Gungsuh" w:cs="Gungsuh" w:eastAsia="Gungsuh" w:hAnsi="Gungsuh"/>
          <w:color w:val="c0504d"/>
          <w:rtl w:val="0"/>
        </w:rPr>
        <w:t xml:space="preserve">※今回はこれ以降は編集しません。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numPr>
          <w:ilvl w:val="2"/>
          <w:numId w:val="1"/>
        </w:numPr>
        <w:ind w:left="2956" w:hanging="4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保守性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　（今回は割愛）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numPr>
          <w:ilvl w:val="2"/>
          <w:numId w:val="1"/>
        </w:numPr>
        <w:ind w:left="2956" w:hanging="4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拡張性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　（今回は割愛）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numPr>
          <w:ilvl w:val="2"/>
          <w:numId w:val="1"/>
        </w:numPr>
        <w:ind w:left="2956" w:hanging="4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移植性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　（今回は割愛）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2"/>
          <w:numId w:val="1"/>
        </w:numPr>
        <w:ind w:left="2956" w:hanging="425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性能目標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　（今回は割愛）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1"/>
        </w:numPr>
        <w:ind w:left="2531" w:hanging="425.9999999999999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セキュリティ要件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　（今回は割愛）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1"/>
        </w:numPr>
        <w:ind w:left="2531" w:hanging="425.99999999999994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品質目標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　（今回は割愛）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iryo"/>
  <w:font w:name="Gungsuh"/>
  <w:font w:name="Arial Unicode MS"/>
  <w:font w:name="Times New Roman"/>
  <w:font w:name="HG丸ｺﾞｼｯｸM-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2105" w:hanging="425"/>
      </w:pPr>
      <w:rPr/>
    </w:lvl>
    <w:lvl w:ilvl="1">
      <w:start w:val="1"/>
      <w:numFmt w:val="decimal"/>
      <w:lvlText w:val="(%2)"/>
      <w:lvlJc w:val="left"/>
      <w:pPr>
        <w:ind w:left="2531" w:hanging="426"/>
      </w:pPr>
      <w:rPr/>
    </w:lvl>
    <w:lvl w:ilvl="2">
      <w:start w:val="1"/>
      <w:numFmt w:val="decimal"/>
      <w:lvlText w:val="%3"/>
      <w:lvlJc w:val="left"/>
      <w:pPr>
        <w:ind w:left="2956" w:hanging="425"/>
      </w:pPr>
      <w:rPr/>
    </w:lvl>
    <w:lvl w:ilvl="3">
      <w:start w:val="1"/>
      <w:numFmt w:val="decimal"/>
      <w:lvlText w:val="(%4)"/>
      <w:lvlJc w:val="left"/>
      <w:pPr>
        <w:ind w:left="3381" w:hanging="425"/>
      </w:pPr>
      <w:rPr/>
    </w:lvl>
    <w:lvl w:ilvl="4">
      <w:start w:val="1"/>
      <w:numFmt w:val="decimal"/>
      <w:lvlText w:val=""/>
      <w:lvlJc w:val="left"/>
      <w:pPr>
        <w:ind w:left="3806" w:hanging="425"/>
      </w:pPr>
      <w:rPr/>
    </w:lvl>
    <w:lvl w:ilvl="5">
      <w:start w:val="1"/>
      <w:numFmt w:val="decimal"/>
      <w:lvlText w:val=""/>
      <w:lvlJc w:val="left"/>
      <w:pPr>
        <w:ind w:left="4231" w:hanging="425"/>
      </w:pPr>
      <w:rPr/>
    </w:lvl>
    <w:lvl w:ilvl="6">
      <w:start w:val="1"/>
      <w:numFmt w:val="decimal"/>
      <w:lvlText w:val=""/>
      <w:lvlJc w:val="left"/>
      <w:pPr>
        <w:ind w:left="4656" w:hanging="425"/>
      </w:pPr>
      <w:rPr/>
    </w:lvl>
    <w:lvl w:ilvl="7">
      <w:start w:val="1"/>
      <w:numFmt w:val="decimal"/>
      <w:lvlText w:val=""/>
      <w:lvlJc w:val="left"/>
      <w:pPr>
        <w:ind w:left="5082" w:hanging="426"/>
      </w:pPr>
      <w:rPr/>
    </w:lvl>
    <w:lvl w:ilvl="8">
      <w:start w:val="1"/>
      <w:numFmt w:val="decimal"/>
      <w:lvlText w:val=""/>
      <w:lvlJc w:val="right"/>
      <w:pPr>
        <w:ind w:left="5507" w:hanging="42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line="2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240" w:lineRule="auto"/>
      <w:ind w:left="2103" w:hanging="425"/>
    </w:pPr>
    <w:rPr>
      <w:rFonts w:ascii="HG丸ｺﾞｼｯｸM-PRO" w:cs="HG丸ｺﾞｼｯｸM-PRO" w:eastAsia="HG丸ｺﾞｼｯｸM-PRO" w:hAnsi="HG丸ｺﾞｼｯｸM-PRO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line="240" w:lineRule="auto"/>
      <w:ind w:left="226" w:hanging="113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454" w:hanging="227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ind w:left="400" w:hanging="425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800" w:hanging="425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keepNext w:val="1"/>
      <w:ind w:left="800" w:hanging="425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