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overrideTableStyleFontSizeAndJustification ON; the first row is the header</w:t>
      </w:r>
    </w:p>
    <w:tbl>
      <w:tblPr>
        <w:tblStyle w:val="ProbeCompat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/>
            <w:r>
              <w:t xml:space="preserve">(a) header</w:t>
            </w:r>
          </w:p>
        </w:tc>
        <w:tc>
          <w:tcPr>
            <w:tcW w:w="3000" w:type="dxa"/>
          </w:tcPr>
          <w:p>
            <w:pPr>
              <w:pStyle w:val="ProbeA"/>
            </w:pPr>
            <w:r>
              <w:t xml:space="preserve">(b) header</w:t>
            </w:r>
          </w:p>
        </w:tc>
        <w:tc>
          <w:tcPr>
            <w:tcW w:w="3000" w:type="dxa"/>
          </w:tcPr>
          <w:p>
            <w:pPr>
              <w:pStyle w:val="ProbeC"/>
            </w:pPr>
            <w:r>
              <w:t xml:space="preserve">(c) header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(a) body</w:t>
            </w:r>
          </w:p>
        </w:tc>
        <w:tc>
          <w:tcPr>
            <w:tcW w:w="3000" w:type="dxa"/>
          </w:tcPr>
          <w:p>
            <w:pPr>
              <w:pStyle w:val="ProbeA"/>
            </w:pPr>
            <w:r>
              <w:t xml:space="preserve">(b) body</w:t>
            </w:r>
          </w:p>
        </w:tc>
        <w:tc>
          <w:tcPr>
            <w:tcW w:w="3000" w:type="dxa"/>
          </w:tcPr>
          <w:p>
            <w:pPr>
              <w:pStyle w:val="ProbeC"/>
            </w:pPr>
            <w:r>
              <w:t xml:space="preserve">(c) body</w:t>
            </w:r>
          </w:p>
        </w:tc>
      </w:tr>
    </w:tbl>
    <w:p>
      <w:pPr/>
      <w:r>
        <w:t xml:space="preserve">(d) a body paragraph, the 12pt control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jc w:val="left"/>
    </w:pPr>
    <w:rPr>
      <w:rFonts w:ascii="Liberation Serif" w:hAnsi="Liberation Serif" w:eastAsia="Liberation Serif" w:cs="Liberation Seri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">
    <w:name w:val="ProbeB"/>
    <w:basedOn w:val="Normal"/>
    <w:pPr/>
    <w:rPr>
      <w:rFonts w:ascii="Liberation Serif" w:hAnsi="Liberation Serif" w:eastAsia="Liberation Serif" w:cs="Liberation Serif"/>
      <w:sz w:val="20"/>
      <w:szCs w:val="20"/>
    </w:rPr>
  </w:style>
  <w:style w:type="paragraph" w:styleId="ProbeA">
    <w:name w:val="ProbeA"/>
    <w:basedOn w:val="ProbeB"/>
    <w:pPr/>
  </w:style>
  <w:style w:type="paragraph" w:styleId="ProbeC">
    <w:name w:val="ProbeC"/>
    <w:basedOn w:val="Normal"/>
    <w:pPr/>
    <w:rPr>
      <w:rFonts w:ascii="Liberation Serif" w:hAnsi="Liberation Serif" w:eastAsia="Liberation Serif" w:cs="Liberation Serif"/>
      <w:sz w:val="32"/>
      <w:szCs w:val="32"/>
    </w:rPr>
  </w:style>
  <w:style w:type="table" w:styleId="ProbeCompat">
    <w:name w:val="ProbeCompat"/>
    <w:pPr>
      <w:jc w:val="right"/>
    </w:pPr>
    <w:rPr>
      <w:rFonts w:ascii="Liberation Serif" w:hAnsi="Liberation Serif" w:eastAsia="Liberation Serif" w:cs="Liberation Serif"/>
      <w:sz w:val="18"/>
      <w:szCs w:val="18"/>
    </w:rPr>
    <w:tblPr>
      <w:tblInd w:w="0" w:type="dxa"/>
    </w:tblPr>
    <w:tblStylePr w:type="firstRow">
      <w:pPr>
        <w:jc w:val="center"/>
      </w:pPr>
      <w:rPr>
        <w:rFonts w:ascii="Liberation Serif" w:hAnsi="Liberation Serif" w:eastAsia="Liberation Serif" w:cs="Liberation Serif"/>
        <w:sz w:val="28"/>
        <w:szCs w:val="28"/>
      </w:rPr>
    </w:tblStyle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