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(a) ProbeBands1 (band size 1): row 3 continues row 2's merge in every cell</w:t>
      </w:r>
    </w:p>
    <w:tbl>
      <w:tblPr>
        <w:tblStyle w:val="ProbeBands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0" w:noVBand="1" w:val="0420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(a) row 1</w:t>
            </w:r>
          </w:p>
        </w:tc>
        <w:tc>
          <w:tcPr>
            <w:tcW w:w="4500" w:type="dxa"/>
          </w:tcPr>
          <w:p>
            <w:r>
              <w:t>(a) row 1</w:t>
            </w:r>
          </w:p>
        </w:tc>
      </w:tr>
      <w:tr>
        <w:tc>
          <w:tcPr>
            <w:tcW w:w="4500" w:type="dxa"/>
            <w:vMerge w:val="restart"/>
          </w:tcPr>
          <w:p>
            <w:r>
              <w:t>(a) row 2, merged down</w:t>
            </w:r>
          </w:p>
        </w:tc>
        <w:tc>
          <w:tcPr>
            <w:tcW w:w="4500" w:type="dxa"/>
            <w:vMerge w:val="restart"/>
          </w:tcPr>
          <w:p>
            <w:r>
              <w:t>(a) row 2, merged down</w:t>
            </w:r>
          </w:p>
        </w:tc>
      </w:tr>
      <w:tr>
        <w:tc>
          <w:tcPr>
            <w:tcW w:w="4500" w:type="dxa"/>
            <w:vMerge/>
          </w:tcPr>
          <w:p/>
        </w:tc>
        <w:tc>
          <w:tcPr>
            <w:tcW w:w="4500" w:type="dxa"/>
            <w:vMerge/>
          </w:tcPr>
          <w:p/>
        </w:tc>
      </w:tr>
      <w:tr>
        <w:tc>
          <w:tcPr>
            <w:tcW w:w="4500" w:type="dxa"/>
          </w:tcPr>
          <w:p>
            <w:r>
              <w:t>(a) row 4</w:t>
            </w:r>
          </w:p>
        </w:tc>
        <w:tc>
          <w:tcPr>
            <w:tcW w:w="4500" w:type="dxa"/>
          </w:tcPr>
          <w:p>
            <w:r>
              <w:t>(a) row 4</w:t>
            </w:r>
          </w:p>
        </w:tc>
      </w:tr>
      <w:tr>
        <w:tc>
          <w:tcPr>
            <w:tcW w:w="4500" w:type="dxa"/>
          </w:tcPr>
          <w:p>
            <w:r>
              <w:t>(a) row 5</w:t>
            </w:r>
          </w:p>
        </w:tc>
        <w:tc>
          <w:tcPr>
            <w:tcW w:w="4500" w:type="dxa"/>
          </w:tcPr>
          <w:p>
            <w:r>
              <w:t>(a) row 5</w:t>
            </w:r>
          </w:p>
        </w:tc>
      </w:tr>
      <w:tr>
        <w:tc>
          <w:tcPr>
            <w:tcW w:w="4500" w:type="dxa"/>
          </w:tcPr>
          <w:p>
            <w:r>
              <w:t>(a) row 6</w:t>
            </w:r>
          </w:p>
        </w:tc>
        <w:tc>
          <w:tcPr>
            <w:tcW w:w="4500" w:type="dxa"/>
          </w:tcPr>
          <w:p>
            <w:r>
              <w:t>(a) row 6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(b) ProbeBands1: the control</w:t>
      </w:r>
    </w:p>
    <w:tbl>
      <w:tblPr>
        <w:tblStyle w:val="ProbeBands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0" w:noVBand="1" w:val="0420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(b) row 1</w:t>
            </w:r>
          </w:p>
        </w:tc>
        <w:tc>
          <w:tcPr>
            <w:tcW w:w="4500" w:type="dxa"/>
          </w:tcPr>
          <w:p>
            <w:r>
              <w:t>(b) row 1</w:t>
            </w:r>
          </w:p>
        </w:tc>
      </w:tr>
      <w:tr>
        <w:tc>
          <w:tcPr>
            <w:tcW w:w="4500" w:type="dxa"/>
            <w:vMerge w:val="restart"/>
          </w:tcPr>
          <w:p>
            <w:r>
              <w:t>(b) row 2, merged down</w:t>
            </w:r>
          </w:p>
        </w:tc>
        <w:tc>
          <w:tcPr>
            <w:tcW w:w="4500" w:type="dxa"/>
          </w:tcPr>
          <w:p>
            <w:r>
              <w:t>(b) row 2</w:t>
            </w:r>
          </w:p>
        </w:tc>
      </w:tr>
      <w:tr>
        <w:tc>
          <w:tcPr>
            <w:tcW w:w="4500" w:type="dxa"/>
            <w:vMerge/>
          </w:tcPr>
          <w:p/>
        </w:tc>
        <w:tc>
          <w:tcPr>
            <w:tcW w:w="4500" w:type="dxa"/>
          </w:tcPr>
          <w:p>
            <w:r>
              <w:t>(b) row 3</w:t>
            </w:r>
          </w:p>
        </w:tc>
      </w:tr>
      <w:tr>
        <w:tc>
          <w:tcPr>
            <w:tcW w:w="4500" w:type="dxa"/>
          </w:tcPr>
          <w:p>
            <w:r>
              <w:t>(b) row 4</w:t>
            </w:r>
          </w:p>
        </w:tc>
        <w:tc>
          <w:tcPr>
            <w:tcW w:w="4500" w:type="dxa"/>
          </w:tcPr>
          <w:p>
            <w:r>
              <w:t>(b) row 4</w:t>
            </w:r>
          </w:p>
        </w:tc>
      </w:tr>
      <w:tr>
        <w:tc>
          <w:tcPr>
            <w:tcW w:w="4500" w:type="dxa"/>
          </w:tcPr>
          <w:p>
            <w:r>
              <w:t>(b) row 5</w:t>
            </w:r>
          </w:p>
        </w:tc>
        <w:tc>
          <w:tcPr>
            <w:tcW w:w="4500" w:type="dxa"/>
          </w:tcPr>
          <w:p>
            <w:r>
              <w:t>(b) row 5</w:t>
            </w:r>
          </w:p>
        </w:tc>
      </w:tr>
      <w:tr>
        <w:tc>
          <w:tcPr>
            <w:tcW w:w="4500" w:type="dxa"/>
          </w:tcPr>
          <w:p>
            <w:r>
              <w:t>(b) row 6</w:t>
            </w:r>
          </w:p>
        </w:tc>
        <w:tc>
          <w:tcPr>
            <w:tcW w:w="4500" w:type="dxa"/>
          </w:tcPr>
          <w:p>
            <w:r>
              <w:t>(b) row 6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(c) ProbeBands (no band size): the control</w:t>
      </w:r>
    </w:p>
    <w:tbl>
      <w:tblPr>
        <w:tblStyle w:val="ProbeBands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0" w:noVBand="1" w:val="0420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(c) row 1</w:t>
            </w:r>
          </w:p>
        </w:tc>
        <w:tc>
          <w:tcPr>
            <w:tcW w:w="4500" w:type="dxa"/>
          </w:tcPr>
          <w:p>
            <w:r>
              <w:t>(c) row 1</w:t>
            </w:r>
          </w:p>
        </w:tc>
      </w:tr>
      <w:tr>
        <w:tc>
          <w:tcPr>
            <w:tcW w:w="4500" w:type="dxa"/>
            <w:vMerge w:val="restart"/>
          </w:tcPr>
          <w:p>
            <w:r>
              <w:t>(c) row 2, merged down</w:t>
            </w:r>
          </w:p>
        </w:tc>
        <w:tc>
          <w:tcPr>
            <w:tcW w:w="4500" w:type="dxa"/>
          </w:tcPr>
          <w:p>
            <w:r>
              <w:t>(c) row 2</w:t>
            </w:r>
          </w:p>
        </w:tc>
      </w:tr>
      <w:tr>
        <w:tc>
          <w:tcPr>
            <w:tcW w:w="4500" w:type="dxa"/>
            <w:vMerge/>
          </w:tcPr>
          <w:p/>
        </w:tc>
        <w:tc>
          <w:tcPr>
            <w:tcW w:w="4500" w:type="dxa"/>
          </w:tcPr>
          <w:p>
            <w:r>
              <w:t>(c) row 3</w:t>
            </w:r>
          </w:p>
        </w:tc>
      </w:tr>
      <w:tr>
        <w:tc>
          <w:tcPr>
            <w:tcW w:w="4500" w:type="dxa"/>
          </w:tcPr>
          <w:p>
            <w:r>
              <w:t>(c) row 4</w:t>
            </w:r>
          </w:p>
        </w:tc>
        <w:tc>
          <w:tcPr>
            <w:tcW w:w="4500" w:type="dxa"/>
          </w:tcPr>
          <w:p>
            <w:r>
              <w:t>(c) row 4</w:t>
            </w:r>
          </w:p>
        </w:tc>
      </w:tr>
      <w:tr>
        <w:tc>
          <w:tcPr>
            <w:tcW w:w="4500" w:type="dxa"/>
          </w:tcPr>
          <w:p>
            <w:r>
              <w:t>(c) row 5</w:t>
            </w:r>
          </w:p>
        </w:tc>
        <w:tc>
          <w:tcPr>
            <w:tcW w:w="4500" w:type="dxa"/>
          </w:tcPr>
          <w:p>
            <w:r>
              <w:t>(c) row 5</w:t>
            </w:r>
          </w:p>
        </w:tc>
      </w:tr>
      <w:tr>
        <w:tc>
          <w:tcPr>
            <w:tcW w:w="4500" w:type="dxa"/>
          </w:tcPr>
          <w:p>
            <w:r>
              <w:t>(c) row 6</w:t>
            </w:r>
          </w:p>
        </w:tc>
        <w:tc>
          <w:tcPr>
            <w:tcW w:w="4500" w:type="dxa"/>
          </w:tcPr>
          <w:p>
            <w:r>
              <w:t>(c) row 6</w:t>
            </w:r>
          </w:p>
        </w:tc>
      </w:tr>
    </w:tbl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(d) ProbeBands, the table stating band size 1: the control</w:t>
      </w:r>
    </w:p>
    <w:tbl>
      <w:tblPr>
        <w:tblStyle w:val="ProbeBands"/>
        <w:tblStyleRowBandSize w:val="1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0" w:lastColumn="0" w:noHBand="0" w:noVBand="1" w:val="0420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(d) row 1</w:t>
            </w:r>
          </w:p>
        </w:tc>
        <w:tc>
          <w:tcPr>
            <w:tcW w:w="4500" w:type="dxa"/>
          </w:tcPr>
          <w:p>
            <w:r>
              <w:t>(d) row 1</w:t>
            </w:r>
          </w:p>
        </w:tc>
      </w:tr>
      <w:tr>
        <w:tc>
          <w:tcPr>
            <w:tcW w:w="4500" w:type="dxa"/>
            <w:vMerge w:val="restart"/>
          </w:tcPr>
          <w:p>
            <w:r>
              <w:t>(d) row 2, merged down</w:t>
            </w:r>
          </w:p>
        </w:tc>
        <w:tc>
          <w:tcPr>
            <w:tcW w:w="4500" w:type="dxa"/>
          </w:tcPr>
          <w:p>
            <w:r>
              <w:t>(d) row 2</w:t>
            </w:r>
          </w:p>
        </w:tc>
      </w:tr>
      <w:tr>
        <w:tc>
          <w:tcPr>
            <w:tcW w:w="4500" w:type="dxa"/>
            <w:vMerge/>
          </w:tcPr>
          <w:p/>
        </w:tc>
        <w:tc>
          <w:tcPr>
            <w:tcW w:w="4500" w:type="dxa"/>
          </w:tcPr>
          <w:p>
            <w:r>
              <w:t>(d) row 3</w:t>
            </w:r>
          </w:p>
        </w:tc>
      </w:tr>
      <w:tr>
        <w:tc>
          <w:tcPr>
            <w:tcW w:w="4500" w:type="dxa"/>
          </w:tcPr>
          <w:p>
            <w:r>
              <w:t>(d) row 4</w:t>
            </w:r>
          </w:p>
        </w:tc>
        <w:tc>
          <w:tcPr>
            <w:tcW w:w="4500" w:type="dxa"/>
          </w:tcPr>
          <w:p>
            <w:r>
              <w:t>(d) row 4</w:t>
            </w:r>
          </w:p>
        </w:tc>
      </w:tr>
      <w:tr>
        <w:tc>
          <w:tcPr>
            <w:tcW w:w="4500" w:type="dxa"/>
          </w:tcPr>
          <w:p>
            <w:r>
              <w:t>(d) row 5</w:t>
            </w:r>
          </w:p>
        </w:tc>
        <w:tc>
          <w:tcPr>
            <w:tcW w:w="4500" w:type="dxa"/>
          </w:tcPr>
          <w:p>
            <w:r>
              <w:t>(d) row 5</w:t>
            </w:r>
          </w:p>
        </w:tc>
      </w:tr>
      <w:tr>
        <w:tc>
          <w:tcPr>
            <w:tcW w:w="4500" w:type="dxa"/>
          </w:tcPr>
          <w:p>
            <w:r>
              <w:t>(d) row 6</w:t>
            </w:r>
          </w:p>
        </w:tc>
        <w:tc>
          <w:tcPr>
            <w:tcW w:w="4500" w:type="dxa"/>
          </w:tcPr>
          <w:p>
            <w:r>
              <w:t>(d) row 6</w:t>
            </w:r>
          </w:p>
        </w:tc>
      </w:tr>
    </w:tbl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ProbeBands1">
    <w:name w:val="ProbeBands1"/>
    <w:tblPr>
      <w:tblStyleRowBandSize w:val="1"/>
      <w:tblInd w:w="0" w:type="dxa"/>
    </w:tblPr>
    <w:tblStylePr w:type="firstRow">
      <w:rPr>
        <w:i/>
      </w:rPr>
    </w:tblStylePr>
    <w:tblStylePr w:type="band1Horz">
      <w:rPr>
        <w:b/>
      </w:rPr>
      <w:tcPr>
        <w:shd w:val="clear" w:color="auto" w:fill="D9D9D9"/>
      </w:tcPr>
    </w:tblStylePr>
  </w:style>
  <w:style w:type="table" w:styleId="ProbeBands">
    <w:name w:val="ProbeBands"/>
    <w:tblPr>
      <w:tblInd w:w="0" w:type="dxa"/>
    </w:tblPr>
    <w:tblStylePr w:type="firstRow">
      <w:rPr>
        <w:i/>
      </w:rPr>
    </w:tblStylePr>
    <w:tblStylePr w:type="band1Horz">
      <w:rPr>
        <w:b/>
      </w:rPr>
      <w:tcPr>
        <w:shd w:val="clear" w:color="auto" w:fill="D9D9D9"/>
      </w:tcPr>
    </w:tblStyle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