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r>
        <w:t xml:space="preserve">Check 51. Each case is a paragraph, then its item.</w:t>
      </w:r>
    </w:p>
    <w:p>
      <w:r>
        <w:t xml:space="preserve">Case 1: a table: its first cell holds three paragraphs, CELLP1 to CELLP3, its second one, OTHER.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CELLP1</w:t>
            </w:r>
          </w:p>
          <w:p>
            <w:r>
              <w:t xml:space="preserve">CELLP2</w:t>
            </w:r>
          </w:p>
          <w:p>
            <w:r>
              <w:t xml:space="preserve">CELLP3</w:t>
            </w:r>
          </w:p>
        </w:tc>
        <w:tc>
          <w:tcPr>
            <w:tcW w:w="3000" w:type="dxa"/>
          </w:tcPr>
          <w:p>
            <w:r>
              <w:t xml:space="preserve">OTHER</w:t>
            </w:r>
          </w:p>
        </w:tc>
      </w:tr>
    </w:tbl>
    <w:p>
      <w:r>
        <w:t xml:space="preserve">AFTERTABLE</w:t>
      </w:r>
    </w:p>
    <w:p>
      <w:r>
        <w:t xml:space="preserve">Case 2: a block content control (rich text, titled Check 51 block) of three paragraphs, CCP1 to CCP3.</w:t>
      </w:r>
    </w:p>
    <w:sdt>
      <w:sdtPr>
        <w:alias w:val="Check 51 block"/>
        <w:tag w:val="block"/>
        <w:id w:val="51002"/>
      </w:sdtPr>
      <w:sdtContent>
        <w:p>
          <w:r>
            <w:t xml:space="preserve">CCP1</w:t>
          </w:r>
        </w:p>
        <w:p>
          <w:r>
            <w:t xml:space="preserve">CCP2</w:t>
          </w:r>
        </w:p>
        <w:p>
          <w:r>
            <w:t xml:space="preserve">CCP3</w:t>
          </w:r>
        </w:p>
      </w:sdtContent>
    </w:sdt>
    <w:p>
      <w:r>
        <w:t xml:space="preserve">AFTERCONTROL</w:t>
      </w:r>
    </w:p>
    <w:p>
      <w:r>
        <w:t xml:space="preserve">Case 3: an inline content control (titled Check 51 inline). </w:t>
      </w:r>
      <w:r>
        <w:t xml:space="preserve">INLA </w:t>
      </w:r>
      <w:sdt>
        <w:sdtPr>
          <w:alias w:val="Check 51 inline"/>
          <w:tag w:val="inline"/>
          <w:id w:val="51003"/>
        </w:sdtPr>
        <w:sdtContent>
          <w:r>
            <w:t xml:space="preserve">INLINECC</w:t>
          </w:r>
        </w:sdtContent>
      </w:sdt>
      <w:r>
        <w:t xml:space="preserve"> INLB</w:t>
      </w:r>
    </w:p>
    <w:p>
      <w:r>
        <w:t xml:space="preserve">Case 4: a comment of three paragraphs, COMP1 to COMP3, on the middle word. </w:t>
      </w:r>
      <w:r>
        <w:t xml:space="preserve">COMA </w:t>
      </w:r>
      <w:commentRangeStart w:id="0"/>
      <w:r>
        <w:t xml:space="preserve">COMMENTED</w:t>
      </w:r>
      <w:commentRangeEnd w:id="0"/>
      <w:r>
        <w:commentReference w:id="0"/>
      </w:r>
      <w:r>
        <w:t xml:space="preserve"> COMB</w:t>
      </w:r>
    </w:p>
    <w:p>
      <w:r>
        <w:t xml:space="preserve">Case 5: a footnote of two paragraphs (NOTEP1, NOTEP2), then an endnote of one (ENDP1). </w:t>
      </w:r>
      <w:r>
        <w:t xml:space="preserve">FOOTA</w:t>
      </w:r>
      <w:r>
        <w:rPr>
          <w:vertAlign w:val="superscript"/>
        </w:rPr>
        <w:footnoteReference w:id="1"/>
      </w:r>
      <w:r>
        <w:t xml:space="preserve"> FOOTB ENDA</w:t>
      </w:r>
      <w:r>
        <w:rPr>
          <w:vertAlign w:val="superscript"/>
        </w:rPr>
        <w:endnoteReference w:id="1"/>
      </w:r>
      <w:r>
        <w:t xml:space="preserve"> ENDB</w:t>
      </w:r>
    </w:p>
    <w:p>
      <w:r>
        <w:t xml:space="preserve">Case 6: equations in the default style: Latin letters; digits and operators. </w:t>
      </w:r>
      <w:r>
        <w:t xml:space="preserve"> M6A </w:t>
      </w:r>
      <m:oMath>
        <m:r>
          <m:t xml:space="preserve">abhxyzABHXYZ</m:t>
        </m:r>
      </m:oMath>
      <w:r>
        <w:t xml:space="preserve"> M6B</w:t>
      </w:r>
      <w:r>
        <w:t xml:space="preserve"> N6A </w:t>
      </w:r>
      <m:oMath>
        <m:r>
          <m:t xml:space="preserve">0123+-=&lt;&gt;()</m:t>
        </m:r>
      </m:oMath>
      <w:r>
        <w:t xml:space="preserve"> N6B</w:t>
      </w:r>
    </w:p>
    <w:p>
      <w:r>
        <w:t xml:space="preserve">Case 7: equations in the default style: small Greek, capital Greek, the Greek variants and nabla. </w:t>
      </w:r>
      <w:r>
        <w:t xml:space="preserve"> M7A </w:t>
      </w:r>
      <m:oMath>
        <m:r>
          <m:t xml:space="preserve">αβγδεθλμπσςφω</m:t>
        </m:r>
      </m:oMath>
      <w:r>
        <w:t xml:space="preserve"> M7B</w:t>
      </w:r>
      <w:r>
        <w:t xml:space="preserve"> N7A </w:t>
      </w:r>
      <m:oMath>
        <m:r>
          <m:t xml:space="preserve">ΓΔΘΛΠΣΦΨΩ</m:t>
        </m:r>
      </m:oMath>
      <w:r>
        <w:t xml:space="preserve"> N7B</w:t>
      </w:r>
      <w:r>
        <w:t xml:space="preserve"> P7A </w:t>
      </w:r>
      <m:oMath>
        <m:r>
          <m:t xml:space="preserve">ϑϕϖϵϱϰ∂∇</m:t>
        </m:r>
      </m:oMath>
      <w:r>
        <w:t xml:space="preserve"> P7B</w:t>
      </w:r>
    </w:p>
    <w:p>
      <w:r>
        <w:t xml:space="preserve">Case 8: equations with m:sty: plain, bold, italic, bold italic. </w:t>
      </w:r>
      <w:r>
        <w:t xml:space="preserve"> M8A </w:t>
      </w:r>
      <m:oMath>
        <m:r>
          <m:rPr>
            <m:sty m:val="p"/>
          </m:rPr>
          <m:t xml:space="preserve">sinx2Γ</m:t>
        </m:r>
      </m:oMath>
      <w:r>
        <w:t xml:space="preserve"> M8B</w:t>
      </w:r>
      <w:r>
        <w:t xml:space="preserve"> N8A </w:t>
      </w:r>
      <m:oMath>
        <m:r>
          <m:rPr>
            <m:sty m:val="b"/>
          </m:rPr>
          <m:t xml:space="preserve">bx2Γ</m:t>
        </m:r>
      </m:oMath>
      <w:r>
        <w:t xml:space="preserve"> N8B</w:t>
      </w:r>
      <w:r>
        <w:t xml:space="preserve"> P8A </w:t>
      </w:r>
      <m:oMath>
        <m:r>
          <m:rPr>
            <m:sty m:val="i"/>
          </m:rPr>
          <m:t xml:space="preserve">ix2Γ</m:t>
        </m:r>
      </m:oMath>
      <w:r>
        <w:t xml:space="preserve"> P8B</w:t>
      </w:r>
      <w:r>
        <w:t xml:space="preserve"> Q8A </w:t>
      </w:r>
      <m:oMath>
        <m:r>
          <m:rPr>
            <m:sty m:val="bi"/>
          </m:rPr>
          <m:t xml:space="preserve">bix2Γ</m:t>
        </m:r>
      </m:oMath>
      <w:r>
        <w:t xml:space="preserve"> Q8B</w:t>
      </w:r>
    </w:p>
    <w:p>
      <w:r>
        <w:t xml:space="preserve">Case 9: equations with m:scr: script, fraktur, double-struck, sans-serif, monospace. </w:t>
      </w:r>
      <w:r>
        <w:t xml:space="preserve"> M9A </w:t>
      </w:r>
      <m:oMath>
        <m:r>
          <m:rPr>
            <m:scr m:val="script"/>
          </m:rPr>
          <m:t xml:space="preserve">BELeagz1</m:t>
        </m:r>
      </m:oMath>
      <w:r>
        <w:t xml:space="preserve"> M9B</w:t>
      </w:r>
      <w:r>
        <w:t xml:space="preserve"> N9A </w:t>
      </w:r>
      <m:oMath>
        <m:r>
          <m:rPr>
            <m:scr m:val="fraktur"/>
          </m:rPr>
          <m:t xml:space="preserve">CHIRZgz1</m:t>
        </m:r>
      </m:oMath>
      <w:r>
        <w:t xml:space="preserve"> N9B</w:t>
      </w:r>
      <w:r>
        <w:t xml:space="preserve"> P9A </w:t>
      </w:r>
      <m:oMath>
        <m:r>
          <m:rPr>
            <m:scr m:val="double-struck"/>
          </m:rPr>
          <m:t xml:space="preserve">CNRZz1</m:t>
        </m:r>
      </m:oMath>
      <w:r>
        <w:t xml:space="preserve"> P9B</w:t>
      </w:r>
      <w:r>
        <w:t xml:space="preserve"> Q9A </w:t>
      </w:r>
      <m:oMath>
        <m:r>
          <m:rPr>
            <m:scr m:val="sans-serif"/>
          </m:rPr>
          <m:t xml:space="preserve">ab1α</m:t>
        </m:r>
      </m:oMath>
      <w:r>
        <w:t xml:space="preserve"> Q9B</w:t>
      </w:r>
      <w:r>
        <w:t xml:space="preserve"> R9A </w:t>
      </w:r>
      <m:oMath>
        <m:r>
          <m:rPr>
            <m:scr m:val="monospace"/>
          </m:rPr>
          <m:t xml:space="preserve">az1</m:t>
        </m:r>
      </m:oMath>
      <w:r>
        <w:t xml:space="preserve"> R9B</w:t>
      </w:r>
    </w:p>
    <w:p>
      <w:r>
        <w:t xml:space="preserve">Case 10: equations with a bold script: bold script, bold fraktur, bold sans-serif, bold italic sans-serif. </w:t>
      </w:r>
      <w:r>
        <w:t xml:space="preserve"> M10A </w:t>
      </w:r>
      <m:oMath>
        <m:r>
          <m:rPr>
            <m:scr m:val="script"/>
            <m:sty m:val="b"/>
          </m:rPr>
          <m:t xml:space="preserve">Ba</m:t>
        </m:r>
      </m:oMath>
      <w:r>
        <w:t xml:space="preserve"> M10B</w:t>
      </w:r>
      <w:r>
        <w:t xml:space="preserve"> N10A </w:t>
      </w:r>
      <m:oMath>
        <m:r>
          <m:rPr>
            <m:scr m:val="fraktur"/>
            <m:sty m:val="b"/>
          </m:rPr>
          <m:t xml:space="preserve">Ca</m:t>
        </m:r>
      </m:oMath>
      <w:r>
        <w:t xml:space="preserve"> N10B</w:t>
      </w:r>
      <w:r>
        <w:t xml:space="preserve"> P10A </w:t>
      </w:r>
      <m:oMath>
        <m:r>
          <m:rPr>
            <m:scr m:val="sans-serif"/>
            <m:sty m:val="b"/>
          </m:rPr>
          <m:t xml:space="preserve">a1α</m:t>
        </m:r>
      </m:oMath>
      <w:r>
        <w:t xml:space="preserve"> P10B</w:t>
      </w:r>
      <w:r>
        <w:t xml:space="preserve"> Q10A </w:t>
      </w:r>
      <m:oMath>
        <m:r>
          <m:rPr>
            <m:scr m:val="sans-serif"/>
            <m:sty m:val="bi"/>
          </m:rPr>
          <m:t xml:space="preserve">aα</m:t>
        </m:r>
      </m:oMath>
      <w:r>
        <w:t xml:space="preserve"> Q10B</w:t>
      </w:r>
    </w:p>
    <w:p>
      <w:r>
        <w:t xml:space="preserve">Case 11: an equation with m:nor (normal text), then one mixing a normal run and a math run. </w:t>
      </w:r>
      <w:r>
        <w:t xml:space="preserve"> M11A </w:t>
      </w:r>
      <m:oMath>
        <m:r>
          <m:rPr>
            <m:nor/>
          </m:rPr>
          <m:t xml:space="preserve">nx</m:t>
        </m:r>
      </m:oMath>
      <w:r>
        <w:t xml:space="preserve"> M11B</w:t>
      </w:r>
      <w:r>
        <w:t xml:space="preserve"> N11A </w:t>
      </w:r>
      <m:oMath>
        <m:r>
          <m:rPr>
            <m:nor/>
          </m:rPr>
          <m:t xml:space="preserve">nx</m:t>
        </m:r>
        <m:r>
          <m:t xml:space="preserve">y</m:t>
        </m:r>
      </m:oMath>
      <w:r>
        <w:t xml:space="preserve"> N11B</w:t>
      </w:r>
    </w:p>
    <w:p>
      <w:r>
        <w:t xml:space="preserve">Case 12: equation structures: a fraction a over b, x squared, the square root of x, a sum, x in parentheses, sin x. </w:t>
      </w:r>
      <w:r>
        <w:t xml:space="preserve"> F12A </w:t>
      </w:r>
      <m:oMath>
        <m:f>
          <m:num>
            <m:r>
              <m:t xml:space="preserve">a</m:t>
            </m:r>
          </m:num>
          <m:den>
            <m:r>
              <m:t xml:space="preserve">b</m:t>
            </m:r>
          </m:den>
        </m:f>
      </m:oMath>
      <w:r>
        <w:t xml:space="preserve"> F12B</w:t>
      </w:r>
      <w:r>
        <w:t xml:space="preserve"> S12A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t xml:space="preserve"> S12B</w:t>
      </w:r>
      <w:r>
        <w:t xml:space="preserve"> R12A </w:t>
      </w:r>
      <m:oMath>
        <m:rad>
          <m:radPr>
            <m:degHide m:val="1"/>
          </m:radPr>
          <m:deg/>
          <m:e>
            <m:r>
              <m:t xml:space="preserve">x</m:t>
            </m:r>
          </m:e>
        </m:rad>
      </m:oMath>
      <w:r>
        <w:t xml:space="preserve"> R12B</w:t>
      </w:r>
      <w:r>
        <w:t xml:space="preserve"> N12A </w:t>
      </w:r>
      <m:oMath>
        <m:nary>
          <m:naryPr>
            <m:chr m:val="∑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r>
              <m:t xml:space="preserve">x</m:t>
            </m:r>
          </m:e>
        </m:nary>
      </m:oMath>
      <w:r>
        <w:t xml:space="preserve"> N12B</w:t>
      </w:r>
      <w:r>
        <w:t xml:space="preserve"> D12A </w:t>
      </w:r>
      <m:oMath>
        <m:d>
          <m:e>
            <m:r>
              <m:t xml:space="preserve">x</m:t>
            </m:r>
          </m:e>
        </m:d>
      </m:oMath>
      <w:r>
        <w:t xml:space="preserve"> D12B</w:t>
      </w:r>
      <w:r>
        <w:t xml:space="preserve"> U12A </w:t>
      </w:r>
      <m:oMath>
        <m:func>
          <m:fName>
            <m:r>
              <m:rPr>
                <m:sty m:val="p"/>
              </m:rPr>
              <m:t xml:space="preserve">sin</m:t>
            </m:r>
          </m:fName>
          <m:e>
            <m:r>
              <m:t xml:space="preserve">x</m:t>
            </m:r>
          </m:e>
        </m:func>
      </m:oMath>
      <w:r>
        <w:t xml:space="preserve"> U12B</w:t>
      </w:r>
    </w:p>
    <w:p>
      <w:r>
        <w:t xml:space="preserve">Case 13: the next paragraph is a display equation (m:oMathPara) of two equations, x=1 and y=2.</w:t>
      </w:r>
    </w:p>
    <w:p>
      <m:oMathPara>
        <m:oMath>
          <m:r>
            <m:t xml:space="preserve">x=1</m:t>
          </m:r>
        </m:oMath>
        <m:oMath>
          <m:r>
            <m:t xml:space="preserve">y=2</m:t>
          </m:r>
        </m:oMath>
      </m:oMathPara>
    </w:p>
    <w:p>
      <w:r>
        <w:t xml:space="preserve">End of check 51.</w:t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>
  <w:comment w:id="0" w:author="Check 51" w:date="2026-10-21T00:00:00Z" w:initials="C51">
    <w:p>
      <w:r>
        <w:annotationRef/>
      </w:r>
      <w:r>
        <w:t xml:space="preserve">COMP1</w:t>
      </w:r>
    </w:p>
    <w:p>
      <w:r>
        <w:t xml:space="preserve">COMP2</w:t>
      </w:r>
    </w:p>
    <w:p>
      <w:r>
        <w:t xml:space="preserve">COMP3</w:t>
      </w:r>
    </w:p>
  </w:comment>
</w:comments>
</file>

<file path=word/endnotes.xml><?xml version="1.0" encoding="utf-8"?>
<w:endnotes xmlns:w="http://schemas.openxmlformats.org/wordprocessingml/2006/main" xmlns:r="http://schemas.openxmlformats.org/officeDocument/2006/relationships" xmlns:m="http://schemas.openxmlformats.org/officeDocument/2006/math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rPr>
          <w:vertAlign w:val="superscript"/>
        </w:rPr>
        <w:endnoteRef/>
      </w:r>
      <w:r>
        <w:t xml:space="preserve"> ENDP1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NOTEP1</w:t>
      </w:r>
    </w:p>
    <w:p>
      <w:r>
        <w:t xml:space="preserve">NOTEP2</w:t>
      </w:r>
    </w:p>
  </w:footnote>
</w:footnote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Check51Footnotes" Type="http://schemas.openxmlformats.org/officeDocument/2006/relationships/footnotes" Target="footnotes.xml"/><Relationship Id="rIdCheck51Endnotes" Type="http://schemas.openxmlformats.org/officeDocument/2006/relationships/endnotes" Target="endnotes.xml"/><Relationship Id="rIdCheck51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