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m="http://schemas.openxmlformats.org/officeDocument/2006/math"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16="http://schemas.microsoft.com/office/word/2018/wordml" xmlns:w16cex="http://schemas.microsoft.com/office/word/2018/wordml/cex"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sdtfl="http://schemas.microsoft.com/office/word/2024/wordml/sdtformatlock" xmlns:w16sdtdh="http://schemas.microsoft.com/office/word/2020/wordml/sdtdatahash" xmlns:w16du="http://schemas.microsoft.com/office/word/2023/wordml/word16du" mc:Ignorable="w14 w15 w16se w16cid w16 w16cex w16sdtdh w16sdtfl w16du wp14">
  <w:body>
    <!-- Modified by docx4j 17.2.0-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17.1.0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17.1.0,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t xml:space="preserve">docx4j can open documents which contain Word 2010 and later content.  The key extensions are bound (the w14, w15 and w16 namespaces, wps and wpg shapes, a14 drawing), and what it does not bind is preserved wherever the schema admits it.</w:t>
      </w:r>
    </w:p>
    <w:p>
      <w:r>
        <w:rPr>
          <w:b/>
        </w:rPr>
        <w:t xml:space="preserve">Markup compatibility (mc:AlternateContent).  </w:t>
      </w:r>
      <w:r>
        <w:t xml:space="preserve">Word writes some content twice: an mc:Choice for a reader which understands the newer namespace, and an mc:Fallback for one which does not.  A text box is a wps shape with a VML fallback; an equation on a PowerPoint slide is an a14 shape with a picture fallback.  Since docx4j 17.2.0 the whole element is kept at load wherever Word writes it, and written back with both branches, so a document you save says the same thing to every reader.  When docx4j draws, walks or extracts text, it takes one branch: the first mc:Choice whose Requires prefixes are all named in the docx4j.jaxb.mc.preferChoice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A callback which edits the document (find and replace, field update, anything whose result must reach every reader) should ask for every branch with McMode.ALL, through the TraversalUtil constructor or visit overload which takes a mode, or CallbackImpl.setMcMode; docx4j's own binding, field, merge and TOC code does so.  Before 17.2.0 every walk saw every branch.</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17.1.0: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 xml:space="preserve">Hyphenation.  </w:t>
      </w:r>
      <w:r>
        <w:t xml:space="preserve">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
        <w:t xml:space="preserve">Since docx4j 17.2.0 the text of one branch of each mc:AlternateContent is written, the branch docx4j draws, so a text box's text appears once; before that, both branches' text was written.</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the substitutes docx4j ships stand in for them.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tc>
          <w:tcPr>
            <w:tcW w:w="1951" w:type="dxa"/>
            <w:shd w:val="clear" w:color="auto" w:fill="F2F2F2" w:themeFill="background1" w:themeFillShade="F2"/>
          </w:tcPr>
          <w:p w:rsidRPr="00F92CF3" w:rsidR="009D237F" w:rsidP="0013040A" w:rsidRDefault="009D237F">
            <w:pPr>
              <w:jc w:val="right"/>
              <w:rPr>
                <w:b/>
                <w:bCs/>
                <w:sz w:val="20"/>
                <w:szCs w:val="20"/>
              </w:rPr>
            </w:pPr>
          </w:p>
        </w:tc>
        <w:tc>
          <w:tcPr>
            <w:tcW w:w="2977"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tc>
          <w:tcPr>
            <w:tcW w:w="1951" w:type="dxa"/>
            <w:shd w:val="clear" w:color="auto" w:fill="F2F2F2" w:themeFill="background1" w:themeFillShade="F2"/>
          </w:tcPr>
          <w:p w:rsidRPr="00F92CF3" w:rsidR="009D237F" w:rsidP="0013040A" w:rsidRDefault="009D237F">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pPr>
              <w:jc w:val="center"/>
              <w:rPr>
                <w:sz w:val="20"/>
                <w:szCs w:val="20"/>
              </w:rPr>
            </w:pPr>
            <w:r>
              <w:rPr>
                <w:sz w:val="20"/>
                <w:szCs w:val="20"/>
              </w:rPr>
              <w:t>(inc in Core Fonts for the Web)</w:t>
            </w:r>
          </w:p>
        </w:tc>
        <w:tc>
          <w:tcPr>
            <w:tcW w:w="1984" w:type="dxa"/>
            <w:vAlign w:val="center"/>
          </w:tcPr>
          <w:p w:rsidRPr="00F92CF3" w:rsidR="009D237F" w:rsidP="00F661BD" w:rsidRDefault="009D237F">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tc>
          <w:tcPr>
            <w:tcW w:w="1951" w:type="dxa"/>
            <w:shd w:val="clear" w:color="auto" w:fill="F2F2F2" w:themeFill="background1" w:themeFillShade="F2"/>
          </w:tcPr>
          <w:p>
            <w:pPr>
              <w:jc w:val="right"/>
              <w:rPr>
                <w:b/>
                <w:bCs/>
                <w:sz w:val="20"/>
                <w:szCs w:val="20"/>
              </w:rPr>
            </w:pPr>
            <w:r>
              <w:rPr>
                <w:b/>
                <w:bCs/>
                <w:sz w:val="20"/>
                <w:szCs w:val="20"/>
              </w:rPr>
              <w:t xml:space="preserve">Office 2007 – 2010</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w:t>
            </w:r>
            <w:r>
              <w:rPr>
                <w:sz w:val="20"/>
                <w:szCs w:val="20"/>
              </w:rPr>
              <w:br/>
            </w:r>
            <w:r>
              <w:rPr>
                <w:sz w:val="20"/>
                <w:szCs w:val="20"/>
              </w:rPr>
              <w:t xml:space="preserve">Cambria</w:t>
            </w:r>
            <w:r>
              <w:rPr>
                <w:sz w:val="20"/>
                <w:szCs w:val="20"/>
              </w:rPr>
              <w:br/>
            </w:r>
            <w:r>
              <w:rPr>
                <w:sz w:val="20"/>
                <w:szCs w:val="20"/>
              </w:rPr>
              <w:t xml:space="preserve">(ClearType Font Collection)</w:t>
            </w:r>
          </w:p>
        </w:tc>
        <w:tc>
          <w:tcPr>
            <w:tcW w:w="1984" w:type="dxa"/>
            <w:vMerge w:val="restart"/>
            <w:vAlign w:val="center"/>
          </w:tcPr>
          <w:p>
            <w:pPr>
              <w:jc w:val="center"/>
              <w:rPr>
                <w:sz w:val="20"/>
                <w:szCs w:val="20"/>
              </w:rPr>
            </w:pPr>
            <w:r>
              <w:rPr>
                <w:sz w:val="20"/>
                <w:szCs w:val="20"/>
              </w:rPr>
              <w:t xml:space="preserve">Carlito</w:t>
            </w:r>
            <w:r>
              <w:rPr>
                <w:sz w:val="20"/>
                <w:szCs w:val="20"/>
              </w:rPr>
              <w:br/>
            </w:r>
            <w:r>
              <w:rPr>
                <w:sz w:val="20"/>
                <w:szCs w:val="20"/>
              </w:rPr>
              <w:t xml:space="preserve">Caladea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Office 2013 – 2022</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 Light (headings)</w:t>
            </w:r>
            <w:r>
              <w:rPr>
                <w:sz w:val="20"/>
                <w:szCs w:val="20"/>
              </w:rPr>
              <w:br/>
            </w:r>
            <w:r>
              <w:rPr>
                <w:sz w:val="20"/>
                <w:szCs w:val="20"/>
              </w:rPr>
              <w:t xml:space="preserve">Calibri (body)</w:t>
            </w:r>
          </w:p>
        </w:tc>
        <w:tc>
          <w:tcPr>
            <w:tcW w:w="1984" w:type="dxa"/>
            <w:vMerge w:val="restart"/>
            <w:vAlign w:val="center"/>
          </w:tcPr>
          <w:p>
            <w:pPr>
              <w:jc w:val="center"/>
              <w:rPr>
                <w:sz w:val="20"/>
                <w:szCs w:val="20"/>
              </w:rPr>
            </w:pPr>
            <w:r>
              <w:rPr>
                <w:sz w:val="20"/>
                <w:szCs w:val="20"/>
              </w:rPr>
              <w:t xml:space="preserve">Carlito with a 0.987 width factor (measured, not metric)</w:t>
            </w:r>
            <w:r>
              <w:rPr>
                <w:sz w:val="20"/>
                <w:szCs w:val="20"/>
              </w:rPr>
              <w:br/>
            </w:r>
            <w:r>
              <w:rPr>
                <w:sz w:val="20"/>
                <w:szCs w:val="20"/>
              </w:rPr>
              <w:t xml:space="preserve">Carlito</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Microsoft 365 from late 2023</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Aptos Display (headings)</w:t>
            </w:r>
            <w:r>
              <w:rPr>
                <w:sz w:val="20"/>
                <w:szCs w:val="20"/>
              </w:rPr>
              <w:br/>
            </w:r>
            <w:r>
              <w:rPr>
                <w:sz w:val="20"/>
                <w:szCs w:val="20"/>
              </w:rPr>
              <w:t xml:space="preserve">Aptos (body)</w:t>
            </w:r>
          </w:p>
        </w:tc>
        <w:tc>
          <w:tcPr>
            <w:tcW w:w="1984" w:type="dxa"/>
            <w:vMerge w:val="restart"/>
            <w:vAlign w:val="center"/>
          </w:tcPr>
          <w:p>
            <w:pPr>
              <w:jc w:val="center"/>
              <w:rPr>
                <w:sz w:val="20"/>
                <w:szCs w:val="20"/>
              </w:rPr>
            </w:pPr>
            <w:r>
              <w:rPr>
                <w:sz w:val="20"/>
                <w:szCs w:val="20"/>
              </w:rPr>
              <w:t xml:space="preserve">Intos Display</w:t>
            </w:r>
            <w:r>
              <w:rPr>
                <w:sz w:val="20"/>
                <w:szCs w:val="20"/>
              </w:rPr>
              <w:br/>
            </w:r>
            <w:r>
              <w:rPr>
                <w:sz w:val="20"/>
                <w:szCs w:val="20"/>
              </w:rPr>
              <w:t xml:space="preserve">Akasia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P="00F92CF3" w:rsidRDefault="00F92CF3">
      <w:pPr>
        <w:pStyle w:val="ListParagraph"/>
        <w:numPr>
          <w:ilvl w:val="0"/>
          <w:numId w:val="40"/>
        </w:numPr>
      </w:pPr>
      <w:r>
        <w:t xml:space="preserve">docx4j-export-fo-fonts-theme2023 // Akasia and Intos Display for Aptos and Aptos Display (from 17.2.0)</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pPr>
        <w:pStyle w:val="Heading2"/>
      </w:pPr>
      <w:r>
        <w:t>Aptos and the 2023 default theme</w:t>
      </w:r>
    </w:p>
    <w:p>
      <w:r>
        <w:t xml:space="preserve">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
        <w:t xml:space="preserve">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
        <w:t xml:space="preserve">Microsoft’s Aptos fonts are not redistributable, but Microsoft offers them for download (Aptos, Aptos Display, Narrow, Mono and Serif). Our advice:</w:t>
      </w:r>
    </w:p>
    <w:p>
      <w:pPr>
        <w:pStyle w:val="ListParagraph"/>
        <w:numPr>
          <w:ilvl w:val="0"/>
          <w:numId w:val="40"/>
        </w:numPr>
      </w:pPr>
      <w:r>
        <w:t xml:space="preserve">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pPr>
        <w:pStyle w:val="ListParagraph"/>
        <w:numPr>
          <w:ilvl w:val="0"/>
          <w:numId w:val="40"/>
        </w:numPr>
      </w:pPr>
      <w:r>
        <w:t xml:space="preserve">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
        <w:t xml:space="preserve">With neither, docx4j draws Aptos in a font of the same class (Liberation Sans or Carlito) and says so in the FontsAnalysis log; lines then break differently from Word’s.</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m="http://schemas.openxmlformats.org/officeDocument/2006/math"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16="http://schemas.microsoft.com/office/word/2018/wordml" xmlns:w16cex="http://schemas.microsoft.com/office/word/2018/wordml/cex"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m="http://schemas.openxmlformats.org/officeDocument/2006/math"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16="http://schemas.microsoft.com/office/word/2018/wordml" xmlns:w16cex="http://schemas.microsoft.com/office/word/2018/wordml/cex"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