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w:b with a w:val ST_OnOff does not allow</w:t>
      </w:r>
    </w:p>
    <w:p>
      <w:r>
        <w:t xml:space="preserve">C1 bare w:b (bold, the control): </w:t>
      </w:r>
      <w:r>
        <w:rPr>
          <w:b/>
        </w:rPr>
        <w:t xml:space="preserve">C1_BARE</w:t>
      </w:r>
      <w:r>
        <w:t xml:space="preserve"> (end)</w:t>
      </w:r>
    </w:p>
    <w:p>
      <w:r>
        <w:t xml:space="preserve">C2 no w:b (not bold, the control): </w:t>
      </w:r>
      <w:r>
        <w:t xml:space="preserve">C2_ABSENT</w:t>
      </w:r>
      <w:r>
        <w:t xml:space="preserve"> (end)</w:t>
      </w:r>
    </w:p>
    <w:p>
      <w:r>
        <w:t xml:space="preserve">Y1 w:val="yes": </w:t>
      </w:r>
      <w:r>
        <w:rPr>
          <w:b w:val="yes"/>
        </w:rPr>
        <w:t xml:space="preserve">Y1_YES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