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 w:val="0"/>
          <w:color w:val="5A6B78"/>
          <w:sz w:val="24"/>
        </w:rPr>
        <w:t>2026 第八届全球校园人工智能算法精英大赛</w:t>
      </w:r>
    </w:p>
    <w:p>
      <w:pPr>
        <w:jc w:val="center"/>
      </w:pPr>
      <w:r>
        <w:rPr>
          <w:rFonts w:ascii="Times New Roman" w:hAnsi="Times New Roman" w:eastAsia="黑体"/>
          <w:b w:val="0"/>
          <w:color w:val="5A6B78"/>
          <w:sz w:val="24"/>
        </w:rPr>
        <w:t>算法创新赛 · AI＋学科交叉</w:t>
      </w:r>
    </w:p>
    <w:p/>
    <w:p>
      <w:pPr>
        <w:jc w:val="center"/>
      </w:pPr>
      <w:r>
        <w:rPr>
          <w:rFonts w:ascii="Times New Roman" w:hAnsi="Times New Roman" w:eastAsia="黑体"/>
          <w:b/>
          <w:color w:val="16324A"/>
          <w:sz w:val="60"/>
        </w:rPr>
        <w:t>技  术  报  告</w:t>
      </w:r>
    </w:p>
    <w:p/>
    <w:p>
      <w:pPr>
        <w:jc w:val="center"/>
      </w:pPr>
      <w:r>
        <w:rPr>
          <w:rFonts w:ascii="Times New Roman" w:hAnsi="Times New Roman" w:eastAsia="黑体"/>
          <w:b w:val="0"/>
          <w:color w:val="16324A"/>
          <w:sz w:val="30"/>
        </w:rPr>
        <w:t>面向轮机工程管路巡检的</w:t>
      </w:r>
    </w:p>
    <w:p>
      <w:pPr>
        <w:jc w:val="center"/>
      </w:pPr>
      <w:r>
        <w:rPr>
          <w:rFonts w:ascii="Times New Roman" w:hAnsi="Times New Roman" w:eastAsia="黑体"/>
          <w:b/>
          <w:color w:val="16324A"/>
          <w:sz w:val="38"/>
        </w:rPr>
        <w:t>微滴检测与疑似漏液复核系统</w:t>
      </w:r>
    </w:p>
    <w:p/>
    <w:p>
      <w:pPr>
        <w:jc w:val="center"/>
      </w:pPr>
      <w:r>
        <w:rPr>
          <w:rFonts w:ascii="Times New Roman" w:hAnsi="Times New Roman" w:eastAsia="宋体"/>
          <w:b w:val="0"/>
          <w:color w:val="0F7D7A"/>
          <w:sz w:val="22"/>
        </w:rPr>
        <w:t>—— 轻量边缘增强 · 跨尺度门控 · 人工复核留证 ——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 w:val="0"/>
                <w:color w:val="5A6B78"/>
                <w:sz w:val="21"/>
              </w:rPr>
              <w:t>作品名称</w:t>
            </w:r>
          </w:p>
        </w:tc>
        <w:tc>
          <w:tcPr>
            <w:tcW w:type="dxa" w:w="5329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/>
                <w:color w:val="16324A"/>
                <w:sz w:val="21"/>
              </w:rPr>
              <w:t>巡检者 · 管路微滴检测与复核系统</w:t>
            </w:r>
          </w:p>
        </w:tc>
      </w:tr>
      <w:tr>
        <w:tc>
          <w:tcPr>
            <w:tcW w:type="dxa" w:w="2041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 w:val="0"/>
                <w:color w:val="5A6B78"/>
                <w:sz w:val="21"/>
              </w:rPr>
              <w:t>参赛编号</w:t>
            </w:r>
          </w:p>
        </w:tc>
        <w:tc>
          <w:tcPr>
            <w:tcW w:type="dxa" w:w="5329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/>
                <w:color w:val="16324A"/>
                <w:sz w:val="21"/>
              </w:rPr>
              <w:t>AIC-2026-89565014</w:t>
            </w:r>
          </w:p>
        </w:tc>
      </w:tr>
      <w:tr>
        <w:tc>
          <w:tcPr>
            <w:tcW w:type="dxa" w:w="2041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 w:val="0"/>
                <w:color w:val="5A6B78"/>
                <w:sz w:val="21"/>
              </w:rPr>
              <w:t>技术状态</w:t>
            </w:r>
          </w:p>
        </w:tc>
        <w:tc>
          <w:tcPr>
            <w:tcW w:type="dxa" w:w="5329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/>
                <w:color w:val="16324A"/>
                <w:sz w:val="21"/>
              </w:rPr>
              <w:t>视觉检测与人工复核软件系统（可运行）</w:t>
            </w:r>
          </w:p>
        </w:tc>
      </w:tr>
      <w:tr>
        <w:tc>
          <w:tcPr>
            <w:tcW w:type="dxa" w:w="2041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 w:val="0"/>
                <w:color w:val="5A6B78"/>
                <w:sz w:val="21"/>
              </w:rPr>
              <w:t>模型版本</w:t>
            </w:r>
          </w:p>
        </w:tc>
        <w:tc>
          <w:tcPr>
            <w:tcW w:type="dxa" w:w="5329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/>
                <w:color w:val="16324A"/>
                <w:sz w:val="21"/>
              </w:rPr>
              <w:t>20261019-stable-v1</w:t>
            </w:r>
          </w:p>
        </w:tc>
      </w:tr>
      <w:tr>
        <w:tc>
          <w:tcPr>
            <w:tcW w:type="dxa" w:w="2041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 w:val="0"/>
                <w:color w:val="5A6B78"/>
                <w:sz w:val="21"/>
              </w:rPr>
              <w:t>文档日期</w:t>
            </w:r>
          </w:p>
        </w:tc>
        <w:tc>
          <w:tcPr>
            <w:tcW w:type="dxa" w:w="5329"/>
          </w:tcPr>
          <w:p>
            <w:pPr>
              <w:spacing w:before="80" w:after="80"/>
            </w:pPr>
            <w:r/>
            <w:r>
              <w:rPr>
                <w:rFonts w:ascii="Times New Roman" w:hAnsi="Times New Roman" w:eastAsia="宋体"/>
                <w:b/>
                <w:color w:val="16324A"/>
                <w:sz w:val="21"/>
              </w:rPr>
              <w:t>2026 年 10 月 19 日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本报告数据均来自项目实测记录；未完成项已在正文中明确标注。</w:t>
      </w:r>
    </w:p>
    <w:p>
      <w:r>
        <w:br w:type="page"/>
      </w:r>
    </w:p>
    <w:p>
      <w:pPr>
        <w:keepNext/>
        <w:pageBreakBefore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摘　要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本项目面向轮机工程管路巡检实训场景，针对“可见微小水滴识别”与“疑似漏液人工复核”两个环节，构建了一套可本机运行的视觉辅助系统。算法以 YOLOv8n 为基线，在 P3 检测路径上引入自研 CSEdgeGate 模块，将固定 Sobel 边缘响应、可学习深度纹理分支与来自 P4 特征的跨尺度空间门控进行融合，以残差形式回注主干特征。系统侧实现图片检测、视频候选区域提示、事件证据留存、人工复核与记录导出，形成“观察—判断—复核—记录”的完整闭环。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现有数据集共 1054 张图像（1031 张训练、23 张开发验证），标注目标 978 个。定稿权重为 3,022,725 参数、24 层、含 CSEdgeGate 模块。在 23 张开发验证图上，标准模式取得 TP/FP/FN = 11/2/7（精确率 84.6%、召回率 61.1%），图片局部复核模式为 13/2/5（精确率 86.7%、召回率 72.2%）。工程侧完成单元测试、端到端验收、稳定性与并发安全测试，累计 95 项检查全部通过。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报告严格区分“已完成的内部验证”与“尚未完成的独立验收”：开发验证集已多次参与调参，不构成独立盲测；标签尚未完成独立人工验收；轮腿机器人实机接入、跨设备泛化与教学成效试点均属于后续工作。</w:t>
      </w:r>
    </w:p>
    <w:p/>
    <w:p>
      <w:pPr>
        <w:spacing w:before="0" w:after="80" w:line="372" w:lineRule="auto"/>
      </w:pPr>
      <w:r>
        <w:rPr>
          <w:rFonts w:ascii="Times New Roman" w:hAnsi="Times New Roman" w:eastAsia="宋体"/>
          <w:b w:val="0"/>
          <w:sz w:val="20"/>
        </w:rPr>
        <w:t>关键词：管路巡检；微滴检测；CSEdgeGate；跨尺度门控；人工复核；YOLOv8n</w:t>
      </w:r>
    </w:p>
    <w:p>
      <w:r>
        <w:br w:type="page"/>
      </w:r>
    </w:p>
    <w:p>
      <w:pPr>
        <w:keepNext/>
        <w:pageBreakBefore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一、项目概述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1.1 背景与意义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轮机工程管路巡检实训要求学习者识别接头、阀件及管壁附近的异常线索，并结合设备工况判断是否需要进一步检查。实际场景中，微小悬挂滴、金属反光高光与正常出水容易相互混淆，仅凭模型给出的检测框或置信度分数并不足以完成故障定性。图像辅助工具的真正价值，在于提供可复核的观察位置与可追溯的证据链，帮助学习者解释自己判断的依据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将计算机视觉引入巡检图像分析环节，以“可见独立水滴”为检测对象，围绕“候选提示—工况判断—人工复核—证据记录”组织系统。轮腿机器人是后续的图像采集与巡检承载平台；当前阶段先完成可独立运行、可复现验证的视觉软件，避免将平台设想等同于实机成果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1.2 核心目标与成果边界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本项目设定了三个层次的目标：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工程目标：实现图片检测、视频大致位置提示、事件证据保存与人工复核的完整流程。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研究目标：检验“固定边缘 + 轻量纹理 + 跨尺度门控”这一轻量组合是否适合微滴小目标。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教学目标：支持实训中的对照观察与错误分析，而非替代学生或教师完成故障结论。</w:t>
      </w:r>
    </w:p>
    <w:p>
      <w:pPr>
        <w:spacing w:before="8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本版已具备本机文件输入、模型推理、结果展示、事件证据、人工结论与报告导出能力；尚未完成机器人通信与控制、真实机舱泄漏正样本验证、跨设备稳定性测试或课堂效果试点。</w:t>
      </w:r>
    </w:p>
    <w:p>
      <w:pPr>
        <w:spacing w:before="120" w:after="160" w:line="336" w:lineRule="auto"/>
        <w:ind w:left="113" w:right="113"/>
        <w:pBdr>
          <w:top w:val="single" w:sz="6" w:space="4" w:color="e8c9a0"/>
          <w:left w:val="single" w:sz="6" w:space="4" w:color="e8c9a0"/>
          <w:bottom w:val="single" w:sz="6" w:space="4" w:color="e8c9a0"/>
          <w:right w:val="single" w:sz="6" w:space="4" w:color="e8c9a0"/>
        </w:pBdr>
        <w:shd w:val="clear" w:fill="fdf6ec"/>
      </w:pPr>
      <w:r>
        <w:rPr>
          <w:rFonts w:ascii="Times New Roman" w:hAnsi="Times New Roman" w:eastAsia="宋体"/>
          <w:b w:val="0"/>
          <w:color w:val="7A4A17"/>
          <w:sz w:val="19"/>
        </w:rPr>
        <w:t>边界声明：检测到水滴不等于确认设备漏液；模型输出是候选位置，不是故障结论；未检出也不代表设备无泄漏。</w:t>
      </w:r>
    </w:p>
    <w:p>
      <w:pPr>
        <w:keepNext/>
        <w:pageBreakBefore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二、需求分析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2.1 学科专业与使用环节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学科定位为轮机工程，专业方向为船舶机舱管路与设备巡检，应用环节为实验实训中的视觉观察、异常线索分析与复盘。在这一分工中：计算机视觉负责提供微滴候选位置，专业知识负责解释正常出水、预期干燥等工况，人工复核承担最终的故障判断责任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2.2 痛点证据与需求映射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从项目自有数据可以观察到两个具体现象：其一，在 978 个标注框中，有 48 个在原图中的短边不足 8 像素，缩放到 640 输入后更加微小，直接体现了小目标定位的困难；其二，在 165 张重点复核图中，仍有 57 张在目标边界或完整性上存在疑点，说明细颈、反光与极小亮点需要统一标注口径。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上述是项目自身的数据案例，不能作为行业调研统计或教学效果数据使用。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3402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实训环节中的问题</w:t>
            </w:r>
          </w:p>
        </w:tc>
        <w:tc>
          <w:tcPr>
            <w:tcW w:type="dxa" w:w="5216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系统的响应方式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微滴细小且背景复杂</w:t>
            </w:r>
          </w:p>
        </w:tc>
        <w:tc>
          <w:tcPr>
            <w:tcW w:type="dxa" w:w="5216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轻量检测 + 可选局部放大，结果供人复核</w:t>
            </w:r>
          </w:p>
        </w:tc>
      </w:tr>
      <w:tr>
        <w:trPr>
          <w:cantSplit w:val="true"/>
        </w:trPr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正常出水与异常滴漏易混</w:t>
            </w:r>
          </w:p>
        </w:tc>
        <w:tc>
          <w:tcPr>
            <w:tcW w:type="dxa" w:w="5216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记录设备工况，保留“候选”与“人工结论”的区别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观察结果难以追溯</w:t>
            </w:r>
          </w:p>
        </w:tc>
        <w:tc>
          <w:tcPr>
            <w:tcW w:type="dxa" w:w="5216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保存原图、媒体时间、模型版本与完整复核历史</w:t>
            </w:r>
          </w:p>
        </w:tc>
      </w:tr>
      <w:tr>
        <w:trPr>
          <w:cantSplit w:val="true"/>
        </w:trPr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模型输出易被当作结论</w:t>
            </w:r>
          </w:p>
        </w:tc>
        <w:tc>
          <w:tcPr>
            <w:tcW w:type="dxa" w:w="5216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界面持续显示证据与局限声明，未检出≠无泄漏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1  实训问题与系统响应映射</w:t>
      </w:r>
    </w:p>
    <w:p>
      <w:pPr>
        <w:keepNext/>
        <w:pageBreakBefore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三、解决方案设计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3.1 系统总体架构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系统采用数据、算法、事件与展示四层衔接的本机架构。图片或视频进入检测服务后，由 GPU（或 CPU 参考模式）模型生成候选，再形成供人工判断的证据记录。图片局部复核与视频区域提示分别实现，避免将两者的检出能力混算。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4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架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4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1  系统总体架构与当前实现边界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47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082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306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与实训需求的对应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数据层</w:t>
            </w:r>
          </w:p>
        </w:tc>
        <w:tc>
          <w:tcPr>
            <w:tcW w:type="dxa" w:w="408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输入文件、来源与标签清单、SHA-256 记录</w:t>
            </w:r>
          </w:p>
        </w:tc>
        <w:tc>
          <w:tcPr>
            <w:tcW w:type="dxa" w:w="306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保存观察材料与版本信息</w:t>
            </w:r>
          </w:p>
        </w:tc>
      </w:tr>
      <w:tr>
        <w:trPr>
          <w:cantSplit w:val="true"/>
        </w:trPr>
        <w:tc>
          <w:tcPr>
            <w:tcW w:type="dxa" w:w="1474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算法层</w:t>
            </w:r>
          </w:p>
        </w:tc>
        <w:tc>
          <w:tcPr>
            <w:tcW w:type="dxa" w:w="408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YOLOv8n + CSEdgeGate，GPU/CPU 推理</w:t>
            </w:r>
          </w:p>
        </w:tc>
        <w:tc>
          <w:tcPr>
            <w:tcW w:type="dxa" w:w="306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给出可辨微滴候选位置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辅助复核</w:t>
            </w:r>
          </w:p>
        </w:tc>
        <w:tc>
          <w:tcPr>
            <w:tcW w:type="dxa" w:w="408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图片多裁片局部复核、视频区域与视角规则</w:t>
            </w:r>
          </w:p>
        </w:tc>
        <w:tc>
          <w:tcPr>
            <w:tcW w:type="dxa" w:w="306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帮助观察局部与相邻帧线索</w:t>
            </w:r>
          </w:p>
        </w:tc>
      </w:tr>
      <w:tr>
        <w:trPr>
          <w:cantSplit w:val="true"/>
        </w:trPr>
        <w:tc>
          <w:tcPr>
            <w:tcW w:type="dxa" w:w="1474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事件层</w:t>
            </w:r>
          </w:p>
        </w:tc>
        <w:tc>
          <w:tcPr>
            <w:tcW w:type="dxa" w:w="408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 事件库、证据图、复核历史</w:t>
            </w:r>
          </w:p>
        </w:tc>
        <w:tc>
          <w:tcPr>
            <w:tcW w:type="dxa" w:w="306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支持记录与复盘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展示层</w:t>
            </w:r>
          </w:p>
        </w:tc>
        <w:tc>
          <w:tcPr>
            <w:tcW w:type="dxa" w:w="408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本机网页、CSV/JSON/HTML 导出</w:t>
            </w:r>
          </w:p>
        </w:tc>
        <w:tc>
          <w:tcPr>
            <w:tcW w:type="dxa" w:w="306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支持演示与教师检查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2  系统分层实现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3.2 CSEdgeGate 算法模块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该模块接入送往检测头的 P3 分支，同时接收 P3 特征与 P4 上下文。P3 保留较高空间分辨率，P4 作为较粗粒度的条件信号，设计意图是让新增的边缘与纹理残差受上下文调节，从而避免在强反光与纹理区域产生无差别响应。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15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sedge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2  CSEdgeGate 结构：P3 边缘纹理增强与 P4 跨尺度门控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设 P3、P4 输入为 x₃、x₄，φ₃、φ₄ 为 1×1 卷积、批归一化与激活构成的投影，隐通道数 d=32。边缘分支使用固定 Sobel 核逐通道处理投影特征，以绝对梯度和构造边缘响应：</w:t>
      </w:r>
    </w:p>
    <w:p>
      <w:pPr>
        <w:spacing w:before="80" w:after="80" w:line="372" w:lineRule="auto"/>
        <w:jc w:val="center"/>
      </w:pPr>
      <w:r>
        <w:rPr>
          <w:rFonts w:ascii="Times New Roman" w:hAnsi="Times New Roman" w:eastAsia="宋体"/>
          <w:b w:val="0"/>
          <w:sz w:val="21"/>
        </w:rPr>
        <w:t xml:space="preserve">        E = |Gx ⊛ φ₃(x₃)| + |Gy ⊛ φ₃(x₃)|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纹理分支 T 采用深度可分离卷积；融合层 F 拼接边缘与纹理后降维，输出层 O 恢复 P3 通道数。P4 经投影与双线性上采样形成 u，与 v 拼接后生成单通道空间门控：</w:t>
      </w:r>
    </w:p>
    <w:p>
      <w:pPr>
        <w:spacing w:before="80" w:after="80" w:line="372" w:lineRule="auto"/>
        <w:jc w:val="center"/>
      </w:pPr>
      <w:r>
        <w:rPr>
          <w:rFonts w:ascii="Times New Roman" w:hAnsi="Times New Roman" w:eastAsia="宋体"/>
          <w:b w:val="0"/>
          <w:sz w:val="21"/>
        </w:rPr>
        <w:t xml:space="preserve">        s = ε + (1 − ε) · σ( Conv( [v , u] ) )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 ε 固定为 0.2，作为门控下界；α 是初始值为 0.1 的可学习残差系数；主路径 x₃ 保留。门控在输出批归一化之后乘入残差，最终输出为：</w:t>
      </w:r>
    </w:p>
    <w:p>
      <w:pPr>
        <w:spacing w:before="80" w:after="160" w:line="372" w:lineRule="auto"/>
        <w:jc w:val="center"/>
      </w:pPr>
      <w:r>
        <w:rPr>
          <w:rFonts w:ascii="Times New Roman" w:hAnsi="Times New Roman" w:eastAsia="宋体"/>
          <w:b w:val="0"/>
          <w:sz w:val="21"/>
        </w:rPr>
        <w:t xml:space="preserve">        y = x₃ + α · ( r ⊙ s )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3.3 与已有方法的关系及本项目定位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本项目将固定边缘、轻量纹理、P3/P4 条件门控组合到 YOLOv8n 的 P3 检测路径，并把候选检测与专业工况复核衔接起来，形成面向管路微滴任务的完整方法链路。需要明确的是：Sobel 算子、残差连接与注意力门控均为已有技术，Gated-SCNN 等工作已提出形状与语义门控融合思想。本项目的贡献在于“针对微小水滴检测的特征融合与工程组合”，而非提出全新的网络机制。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3.4 数据与标注规则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当前数据为 1054 张公开来源筛选图及补充素材（1031 张训练、23 张开发验证），类别统一为 droplet。正样本与空标签背景分开统计；空标签的含义是“图像中未见可确认的独立滴”，而不是“设备物理状态正常”。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70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划分</w:t>
            </w:r>
          </w:p>
        </w:tc>
        <w:tc>
          <w:tcPr>
            <w:tcW w:type="dxa" w:w="170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图像数</w:t>
            </w:r>
          </w:p>
        </w:tc>
        <w:tc>
          <w:tcPr>
            <w:tcW w:type="dxa" w:w="170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标注框</w:t>
            </w:r>
          </w:p>
        </w:tc>
        <w:tc>
          <w:tcPr>
            <w:tcW w:type="dxa" w:w="3515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用途说明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训练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1031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960</w:t>
            </w:r>
          </w:p>
        </w:tc>
        <w:tc>
          <w:tcPr>
            <w:tcW w:type="dxa" w:w="3515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模型参数学习</w:t>
            </w:r>
          </w:p>
        </w:tc>
      </w:tr>
      <w:tr>
        <w:trPr>
          <w:cantSplit w:val="true"/>
        </w:trPr>
        <w:tc>
          <w:tcPr>
            <w:tcW w:type="dxa" w:w="1701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开发验证</w:t>
            </w:r>
          </w:p>
        </w:tc>
        <w:tc>
          <w:tcPr>
            <w:tcW w:type="dxa" w:w="170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70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3515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调参与内部对照（已被反复使用）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1054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978</w:t>
            </w:r>
          </w:p>
        </w:tc>
        <w:tc>
          <w:tcPr>
            <w:tcW w:type="dxa" w:w="3515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——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3  数据集划分与标注规模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标注口径限定为“可辨独立滴或悬挂滴”；连续水柱、湿斑、积水、金属与反光不直接标成滴；无法确定的亮点保留为疑点，不以模型框反向制造标签。AI 辅助标注及来源标注尚未完成独立人工验收。</w:t>
      </w:r>
    </w:p>
    <w:p>
      <w:pPr>
        <w:keepNext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四、方案可行性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4.1 技术可行性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系统已在 Windows 本机完成端到端运行验证：模型加载、单图推理、事件入库、人工复核、三种格式导出均为实测通过。推理框架使用项目内隔离的 Ultralytics 源码副本与自定义模块，不依赖外部 pip 版本的 ultralytics。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2835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验证项目</w:t>
            </w:r>
          </w:p>
        </w:tc>
        <w:tc>
          <w:tcPr>
            <w:tcW w:type="dxa" w:w="255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23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模型权重加载</w:t>
            </w:r>
          </w:p>
        </w:tc>
        <w:tc>
          <w:tcPr>
            <w:tcW w:type="dxa" w:w="255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Windows / CPU</w:t>
            </w:r>
          </w:p>
        </w:tc>
        <w:tc>
          <w:tcPr>
            <w:tcW w:type="dxa" w:w="323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通过（SHA-256 与说明一致）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单图检测（640）</w:t>
            </w:r>
          </w:p>
        </w:tc>
        <w:tc>
          <w:tcPr>
            <w:tcW w:type="dxa" w:w="255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CPU</w:t>
            </w:r>
          </w:p>
        </w:tc>
        <w:tc>
          <w:tcPr>
            <w:tcW w:type="dxa" w:w="323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中位 51.7 ms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单图检测（960）</w:t>
            </w:r>
          </w:p>
        </w:tc>
        <w:tc>
          <w:tcPr>
            <w:tcW w:type="dxa" w:w="255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CPU</w:t>
            </w:r>
          </w:p>
        </w:tc>
        <w:tc>
          <w:tcPr>
            <w:tcW w:type="dxa" w:w="323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 120 ms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图片局部复核</w:t>
            </w:r>
          </w:p>
        </w:tc>
        <w:tc>
          <w:tcPr>
            <w:tcW w:type="dxa" w:w="255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CPU</w:t>
            </w:r>
          </w:p>
        </w:tc>
        <w:tc>
          <w:tcPr>
            <w:tcW w:type="dxa" w:w="323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 210–230 ms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事件入库与复核</w:t>
            </w:r>
          </w:p>
        </w:tc>
        <w:tc>
          <w:tcPr>
            <w:tcW w:type="dxa" w:w="255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SQLite</w:t>
            </w:r>
          </w:p>
        </w:tc>
        <w:tc>
          <w:tcPr>
            <w:tcW w:type="dxa" w:w="323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通过（含乐观锁冲突测试）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HTML/JSON/CSV 导出</w:t>
            </w:r>
          </w:p>
        </w:tc>
        <w:tc>
          <w:tcPr>
            <w:tcW w:type="dxa" w:w="255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本机 HTTP</w:t>
            </w:r>
          </w:p>
        </w:tc>
        <w:tc>
          <w:tcPr>
            <w:tcW w:type="dxa" w:w="323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4  本机技术可行性验证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4.2 经济可行性与资源成本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81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3402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本版条件</w:t>
            </w:r>
          </w:p>
        </w:tc>
        <w:tc>
          <w:tcPr>
            <w:tcW w:type="dxa" w:w="3402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推广时需核算的内容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计算设备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使用已有 GPU 笔记本，无新增采购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不同电脑的显存、驱动与耗时实测</w:t>
            </w:r>
          </w:p>
        </w:tc>
      </w:tr>
      <w:tr>
        <w:trPr>
          <w:cantSplit w:val="true"/>
        </w:trPr>
        <w:tc>
          <w:tcPr>
            <w:tcW w:type="dxa" w:w="1814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软件与模型</w:t>
            </w:r>
          </w:p>
        </w:tc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与开源计算机视觉组件</w:t>
            </w:r>
          </w:p>
        </w:tc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遵循组件许可，自定义模块随包提供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素材与标注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复用已有 1054 张数据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授权核实、人工统一标注与复核工时</w:t>
            </w:r>
          </w:p>
        </w:tc>
      </w:tr>
      <w:tr>
        <w:trPr>
          <w:cantSplit w:val="true"/>
        </w:trPr>
        <w:tc>
          <w:tcPr>
            <w:tcW w:type="dxa" w:w="1814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运维与存储</w:t>
            </w:r>
          </w:p>
        </w:tc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本机服务，原文件及证据留存</w:t>
            </w:r>
          </w:p>
        </w:tc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视频保留期限、磁盘与备份容量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机器人接入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本版未实施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相机、接口、通信、端侧算力与测试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5  成本结构与推广核算项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4.3 复用与落地路径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同类院校可复用图像导入、候选复核与证据记录流程，替换为授权的课程案例，并由专业教师制定工况解释与标注口径。复用条件是可运行环境、明确的数据许可、实际验收人员及课程任务设计；不得把现有内部结果直接迁移为其他场景的精度承诺。</w:t>
      </w:r>
    </w:p>
    <w:p>
      <w:pPr>
        <w:keepNext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五、项目实施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5.1 已完成的实施过程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58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2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已完成交付</w:t>
            </w:r>
          </w:p>
        </w:tc>
        <w:tc>
          <w:tcPr>
            <w:tcW w:type="dxa" w:w="3402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验证状态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需求收敛</w:t>
            </w:r>
          </w:p>
        </w:tc>
        <w:tc>
          <w:tcPr>
            <w:tcW w:type="dxa" w:w="36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独立微滴目标与人工复核边界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已排除水柱、积水等不同任务</w:t>
            </w:r>
          </w:p>
        </w:tc>
      </w:tr>
      <w:tr>
        <w:trPr>
          <w:cantSplit w:val="true"/>
        </w:trPr>
        <w:tc>
          <w:tcPr>
            <w:tcW w:type="dxa" w:w="1587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数据整理</w:t>
            </w:r>
          </w:p>
        </w:tc>
        <w:tc>
          <w:tcPr>
            <w:tcW w:type="dxa" w:w="36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1054 图及来源、标签、哈希记录</w:t>
            </w:r>
          </w:p>
        </w:tc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格式通过；标签仍需独立验收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算法实现</w:t>
            </w:r>
          </w:p>
        </w:tc>
        <w:tc>
          <w:tcPr>
            <w:tcW w:type="dxa" w:w="36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A0/A2/A3 对照与 CSEdgeGate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GPU 运行与权重保存重载通过</w:t>
            </w:r>
          </w:p>
        </w:tc>
      </w:tr>
      <w:tr>
        <w:trPr>
          <w:cantSplit w:val="true"/>
        </w:trPr>
        <w:tc>
          <w:tcPr>
            <w:tcW w:type="dxa" w:w="1587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系统联调</w:t>
            </w:r>
          </w:p>
        </w:tc>
        <w:tc>
          <w:tcPr>
            <w:tcW w:type="dxa" w:w="36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图片、视频、复核、事件与导出</w:t>
            </w:r>
          </w:p>
        </w:tc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本机工程检查通过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工程加固</w:t>
            </w:r>
          </w:p>
        </w:tc>
        <w:tc>
          <w:tcPr>
            <w:tcW w:type="dxa" w:w="36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稳定性、并发安全、性能优化</w:t>
            </w:r>
          </w:p>
        </w:tc>
        <w:tc>
          <w:tcPr>
            <w:tcW w:type="dxa" w:w="3402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 项检查全部通过</w:t>
            </w:r>
          </w:p>
        </w:tc>
      </w:tr>
      <w:tr>
        <w:trPr>
          <w:cantSplit w:val="true"/>
        </w:trPr>
        <w:tc>
          <w:tcPr>
            <w:tcW w:type="dxa" w:w="1587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方案定稿</w:t>
            </w:r>
          </w:p>
        </w:tc>
        <w:tc>
          <w:tcPr>
            <w:tcW w:type="dxa" w:w="36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主模型、功能与边界说明</w:t>
            </w:r>
          </w:p>
        </w:tc>
        <w:tc>
          <w:tcPr>
            <w:tcW w:type="dxa" w:w="3402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固定于 2026 年 10 月 19 日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6  实施阶段与验证状态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5.2 软件工程验证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除算法指标外，本项目对软件系统本身进行了系统性验证，覆盖功能正确性、并发安全、异常输入与长时间运行稳定性。这些检查验证的是“系统可运行、可追溯、可复现”，不代表检测精度，也不代表机器人实机可靠性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06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工程验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0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3  工程验证结果（2026-10-19，本机 CPU 环境）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92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验证类别</w:t>
            </w:r>
          </w:p>
        </w:tc>
        <w:tc>
          <w:tcPr>
            <w:tcW w:type="dxa" w:w="3402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8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单元测试</w:t>
            </w:r>
          </w:p>
        </w:tc>
        <w:tc>
          <w:tcPr>
            <w:tcW w:type="dxa" w:w="3402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unittest 全量用例</w:t>
            </w:r>
          </w:p>
        </w:tc>
        <w:tc>
          <w:tcPr>
            <w:tcW w:type="dxa" w:w="3288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 项通过，1 项条件跳过</w:t>
            </w:r>
          </w:p>
        </w:tc>
      </w:tr>
      <w:tr>
        <w:trPr>
          <w:cantSplit w:val="true"/>
        </w:trPr>
        <w:tc>
          <w:tcPr>
            <w:tcW w:type="dxa" w:w="1928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端到端验收</w:t>
            </w:r>
          </w:p>
        </w:tc>
        <w:tc>
          <w:tcPr>
            <w:tcW w:type="dxa" w:w="3402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 接口与业务流程</w:t>
            </w:r>
          </w:p>
        </w:tc>
        <w:tc>
          <w:tcPr>
            <w:tcW w:type="dxa" w:w="3288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37/37 通过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稳定性测试</w:t>
            </w:r>
          </w:p>
        </w:tc>
        <w:tc>
          <w:tcPr>
            <w:tcW w:type="dxa" w:w="3402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并发、竞态、资源、soak</w:t>
            </w:r>
          </w:p>
        </w:tc>
        <w:tc>
          <w:tcPr>
            <w:tcW w:type="dxa" w:w="3288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16/16 通过</w:t>
            </w:r>
          </w:p>
        </w:tc>
      </w:tr>
      <w:tr>
        <w:trPr>
          <w:cantSplit w:val="true"/>
        </w:trPr>
        <w:tc>
          <w:tcPr>
            <w:tcW w:type="dxa" w:w="1928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文件完整性</w:t>
            </w:r>
          </w:p>
        </w:tc>
        <w:tc>
          <w:tcPr>
            <w:tcW w:type="dxa" w:w="3402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SHA-256 逐文件校验</w:t>
            </w:r>
          </w:p>
        </w:tc>
        <w:tc>
          <w:tcPr>
            <w:tcW w:type="dxa" w:w="3288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2574/2574 一致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连续运行</w:t>
            </w:r>
          </w:p>
        </w:tc>
        <w:tc>
          <w:tcPr>
            <w:tcW w:type="dxa" w:w="3402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个检测任务采样</w:t>
            </w:r>
          </w:p>
        </w:tc>
        <w:tc>
          <w:tcPr>
            <w:tcW w:type="dxa" w:w="3288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线程零增长，内存稳定</w:t>
            </w:r>
          </w:p>
        </w:tc>
      </w:tr>
      <w:tr>
        <w:trPr>
          <w:cantSplit w:val="true"/>
        </w:trPr>
        <w:tc>
          <w:tcPr>
            <w:tcW w:type="dxa" w:w="1928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重启恢复</w:t>
            </w:r>
          </w:p>
        </w:tc>
        <w:tc>
          <w:tcPr>
            <w:tcW w:type="dxa" w:w="3402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伪造运行中任务后重启</w:t>
            </w:r>
          </w:p>
        </w:tc>
        <w:tc>
          <w:tcPr>
            <w:tcW w:type="dxa" w:w="3288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自动标记 interrupted，数据保留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并发安全</w:t>
            </w:r>
          </w:p>
        </w:tc>
        <w:tc>
          <w:tcPr>
            <w:tcW w:type="dxa" w:w="3402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 线程同时开始检测</w:t>
            </w:r>
          </w:p>
        </w:tc>
        <w:tc>
          <w:tcPr>
            <w:tcW w:type="dxa" w:w="3288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 1 个任务被接受</w:t>
            </w:r>
          </w:p>
        </w:tc>
      </w:tr>
      <w:tr>
        <w:trPr>
          <w:cantSplit w:val="true"/>
        </w:trPr>
        <w:tc>
          <w:tcPr>
            <w:tcW w:type="dxa" w:w="1928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数据安全</w:t>
            </w:r>
          </w:p>
        </w:tc>
        <w:tc>
          <w:tcPr>
            <w:tcW w:type="dxa" w:w="3402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线程同时复核同一事件</w:t>
            </w:r>
          </w:p>
        </w:tc>
        <w:tc>
          <w:tcPr>
            <w:tcW w:type="dxa" w:w="3288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 1 次写入成功（乐观锁）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输入校验</w:t>
            </w:r>
          </w:p>
        </w:tc>
        <w:tc>
          <w:tcPr>
            <w:tcW w:type="dxa" w:w="3402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 类畸形/恶意请求</w:t>
            </w:r>
          </w:p>
        </w:tc>
        <w:tc>
          <w:tcPr>
            <w:tcW w:type="dxa" w:w="3288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全部按预期拒绝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7  软件工程验证明细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在验证过程中发现并修复了以下工程缺陷，可作为系统可靠性的佐证：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连续检测线程泄漏：原实现每个任务新建线程，推理框架为每个新线程建立线程池且不回收，实测约增加 7 个系统线程/任务；改为持久单工作线程后，20 个任务线程数零增长。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区域提示模式缺失依赖：轻量包曾缺少区域时序模块，界面仍开放该选项导致必然失败；改为能力探测后，模块存在才开放，缺失时明确提示。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端口重复启动：Windows 下第二个实例可绑定同一端口并互抢任务；改为禁止端口复用，占用时明确提示退出。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加载阶段无法停止：模型加载期间点击停止会被状态覆盖；改为保持“已停止”终态。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任务记录接口性能：每次请求重读全部任务 JSON，任务积累后并发 p50 达 455 ms；改为缓存与快照后降至 16 ms。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5.3 资源与复现保障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保留完整运行环境记录、隔离算法源码、自定义模块、数据清单、模型权重指纹与全部验证结果文件。网页默认使用标准检测，局部复核由用户主动选择。原模型权重、事件与人工复核历史均保留，未通过对照的候选不直接替换工作台。</w:t>
      </w:r>
    </w:p>
    <w:p>
      <w:pPr>
        <w:spacing w:before="120" w:after="160" w:line="336" w:lineRule="auto"/>
        <w:ind w:left="113" w:right="113"/>
        <w:pBdr>
          <w:top w:val="single" w:sz="6" w:space="4" w:color="e8c9a0"/>
          <w:left w:val="single" w:sz="6" w:space="4" w:color="e8c9a0"/>
          <w:bottom w:val="single" w:sz="6" w:space="4" w:color="e8c9a0"/>
          <w:right w:val="single" w:sz="6" w:space="4" w:color="e8c9a0"/>
        </w:pBdr>
        <w:shd w:val="clear" w:fill="fdf6ec"/>
      </w:pPr>
      <w:r>
        <w:rPr>
          <w:rFonts w:ascii="Times New Roman" w:hAnsi="Times New Roman" w:eastAsia="宋体"/>
          <w:b w:val="0"/>
          <w:color w:val="7A4A17"/>
          <w:sz w:val="19"/>
        </w:rPr>
        <w:t>复现边界：轻量交付包包含推理所需全部代码与权重，可复现检测与复核流程；训练脚本与完整消融日志未随包提供，因此本报告不宣称训练流程可完整复现。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5.4 团队协作与专业接口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协作接口围绕专业需求审阅、算法与数据验证、系统及材料核对组织。专业审阅应确认“独立滴”的定义与工况解释；算法环节交付代码、参数及逐图记录；系统环节交付可运行流程、事件证据与演示材料。每项结论应能追溯至输入、模型、参数与复核意见。</w:t>
      </w:r>
    </w:p>
    <w:p>
      <w:pPr>
        <w:spacing w:before="120" w:after="160" w:line="336" w:lineRule="auto"/>
        <w:ind w:left="113" w:right="113"/>
        <w:pBdr>
          <w:top w:val="single" w:sz="6" w:space="4" w:color="e8c9a0"/>
          <w:left w:val="single" w:sz="6" w:space="4" w:color="e8c9a0"/>
          <w:bottom w:val="single" w:sz="6" w:space="4" w:color="e8c9a0"/>
          <w:right w:val="single" w:sz="6" w:space="4" w:color="e8c9a0"/>
        </w:pBdr>
        <w:shd w:val="clear" w:fill="fdf6ec"/>
      </w:pPr>
      <w:r>
        <w:rPr>
          <w:rFonts w:ascii="Times New Roman" w:hAnsi="Times New Roman" w:eastAsia="宋体"/>
          <w:b w:val="0"/>
          <w:color w:val="7A4A17"/>
          <w:sz w:val="19"/>
        </w:rPr>
        <w:t>本节说明职责接口，不将建议分工写成真实履历。若为跨专业团队，提交前须补充真实成员专业、承担任务及交付成果。</w:t>
      </w:r>
    </w:p>
    <w:p>
      <w:pPr>
        <w:keepNext/>
        <w:pageBreakBefore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六、应用效果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6.1 评价口径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本节为内部开发验证，不是课堂试点或机舱生产验收。TP 为预测与标注 IoU 不低于 0.5 的一对一匹配，FP 为未匹配预测，FN 为未匹配标注。统一使用置信度 0.25、输入 640、去重 IoU 0.5；不把“框召回”写作“总体准确率”。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6.2 定稿模型的开发集表现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blHeader w:val="true"/>
          <w:cantSplit w:val="true"/>
        </w:trPr>
        <w:tc>
          <w:tcPr>
            <w:tcW w:type="dxa" w:w="2835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模式与数据范围</w:t>
            </w:r>
          </w:p>
        </w:tc>
        <w:tc>
          <w:tcPr>
            <w:tcW w:type="dxa" w:w="90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TP</w:t>
            </w:r>
          </w:p>
        </w:tc>
        <w:tc>
          <w:tcPr>
            <w:tcW w:type="dxa" w:w="90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FP</w:t>
            </w:r>
          </w:p>
        </w:tc>
        <w:tc>
          <w:tcPr>
            <w:tcW w:type="dxa" w:w="90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FN</w:t>
            </w:r>
          </w:p>
        </w:tc>
        <w:tc>
          <w:tcPr>
            <w:tcW w:type="dxa" w:w="124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精确率</w:t>
            </w:r>
          </w:p>
        </w:tc>
        <w:tc>
          <w:tcPr>
            <w:tcW w:type="dxa" w:w="124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召回率</w:t>
            </w:r>
          </w:p>
        </w:tc>
        <w:tc>
          <w:tcPr>
            <w:tcW w:type="dxa" w:w="1020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F1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标准 · 23 张开发图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24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84.6%</w:t>
            </w:r>
          </w:p>
        </w:tc>
        <w:tc>
          <w:tcPr>
            <w:tcW w:type="dxa" w:w="124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61.1%</w:t>
            </w:r>
          </w:p>
        </w:tc>
        <w:tc>
          <w:tcPr>
            <w:tcW w:type="dxa" w:w="1020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0.710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局部复核 · 23 张开发图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24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86.7%</w:t>
            </w:r>
          </w:p>
        </w:tc>
        <w:tc>
          <w:tcPr>
            <w:tcW w:type="dxa" w:w="124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72.2%</w:t>
            </w:r>
          </w:p>
        </w:tc>
        <w:tc>
          <w:tcPr>
            <w:tcW w:type="dxa" w:w="1020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0.788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标准 · 1031 张训练图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955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99.5%</w:t>
            </w:r>
          </w:p>
        </w:tc>
        <w:tc>
          <w:tcPr>
            <w:tcW w:type="dxa" w:w="124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99.5%</w:t>
            </w:r>
          </w:p>
        </w:tc>
        <w:tc>
          <w:tcPr>
            <w:tcW w:type="dxa" w:w="1020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——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8  定稿模型在不同数据范围上的表现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局部复核相对标准模式在开发集上多匹配 2 个目标，误检数量持平（2 个），召回率提升 11.1 个百分点。训练集上的高匹配来自模型记忆，不作为泛化能力证据。</w:t>
      </w:r>
    </w:p>
    <w:p>
      <w:pPr>
        <w:spacing w:before="120" w:after="160" w:line="336" w:lineRule="auto"/>
        <w:ind w:left="113" w:right="113"/>
        <w:pBdr>
          <w:top w:val="single" w:sz="6" w:space="4" w:color="e8c9a0"/>
          <w:left w:val="single" w:sz="6" w:space="4" w:color="e8c9a0"/>
          <w:bottom w:val="single" w:sz="6" w:space="4" w:color="e8c9a0"/>
          <w:right w:val="single" w:sz="6" w:space="4" w:color="e8c9a0"/>
        </w:pBdr>
        <w:shd w:val="clear" w:fill="fdf6ec"/>
      </w:pPr>
      <w:r>
        <w:rPr>
          <w:rFonts w:ascii="Times New Roman" w:hAnsi="Times New Roman" w:eastAsia="宋体"/>
          <w:b w:val="0"/>
          <w:color w:val="7A4A17"/>
          <w:sz w:val="19"/>
        </w:rPr>
        <w:t>开发验证集已多次参与调参，上述数字不构成独立盲测结果；标注尚未完成独立人工验收，样本量（18 个框）较小，指标波动区间较大。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6.3 结构对照与统计意义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为检验 CSEdgeGate 的有效性，项目构建了 A0（原始 YOLOv8n）、A2（边缘纹理、去门控）与 A3（完整跨尺度门控）三种结构。三者的参数量与结构差异如下：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 w:val="true"/>
        </w:trPr>
        <w:tc>
          <w:tcPr>
            <w:tcW w:type="dxa" w:w="90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2835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0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92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相对 A0</w:t>
            </w:r>
          </w:p>
        </w:tc>
        <w:tc>
          <w:tcPr>
            <w:tcW w:type="dxa" w:w="136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是否含门控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A0</w:t>
            </w:r>
          </w:p>
        </w:tc>
        <w:tc>
          <w:tcPr>
            <w:tcW w:type="dxa" w:w="2835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原始 YOLOv8n 结构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3,011,043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——</w:t>
            </w:r>
          </w:p>
        </w:tc>
        <w:tc>
          <w:tcPr>
            <w:tcW w:type="dxa" w:w="136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A2</w:t>
            </w:r>
          </w:p>
        </w:tc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边缘 + 纹理，去门控</w:t>
            </w:r>
          </w:p>
        </w:tc>
        <w:tc>
          <w:tcPr>
            <w:tcW w:type="dxa" w:w="170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3,017,796</w:t>
            </w:r>
          </w:p>
        </w:tc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+6,753（+0.22%）</w:t>
            </w:r>
          </w:p>
        </w:tc>
        <w:tc>
          <w:tcPr>
            <w:tcW w:type="dxa" w:w="136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type="dxa" w:w="2835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完整跨尺度门控（定稿）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3,022,725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+11,682（+0.39%）</w:t>
            </w:r>
          </w:p>
        </w:tc>
        <w:tc>
          <w:tcPr>
            <w:tcW w:type="dxa" w:w="136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是（第 22 层）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9  三种结构的参数量对照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在开发集上的召回表现及 95% Wilson 置信区间如下：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249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1701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TP/标注</w:t>
            </w:r>
          </w:p>
        </w:tc>
        <w:tc>
          <w:tcPr>
            <w:tcW w:type="dxa" w:w="181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召回率</w:t>
            </w:r>
          </w:p>
        </w:tc>
        <w:tc>
          <w:tcPr>
            <w:tcW w:type="dxa" w:w="2835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95% 置信区间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A0 基线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10/18</w:t>
            </w:r>
          </w:p>
        </w:tc>
        <w:tc>
          <w:tcPr>
            <w:tcW w:type="dxa" w:w="181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55.6%</w:t>
            </w:r>
          </w:p>
        </w:tc>
        <w:tc>
          <w:tcPr>
            <w:tcW w:type="dxa" w:w="2835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33.7% – 75.4%</w:t>
            </w:r>
          </w:p>
        </w:tc>
      </w:tr>
      <w:tr>
        <w:trPr>
          <w:cantSplit w:val="true"/>
        </w:trPr>
        <w:tc>
          <w:tcPr>
            <w:tcW w:type="dxa" w:w="2494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A2 去门控</w:t>
            </w:r>
          </w:p>
        </w:tc>
        <w:tc>
          <w:tcPr>
            <w:tcW w:type="dxa" w:w="1701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12/18</w:t>
            </w:r>
          </w:p>
        </w:tc>
        <w:tc>
          <w:tcPr>
            <w:tcW w:type="dxa" w:w="181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66.7%</w:t>
            </w:r>
          </w:p>
        </w:tc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43.8% – 83.7%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A3 完整门控</w:t>
            </w:r>
          </w:p>
        </w:tc>
        <w:tc>
          <w:tcPr>
            <w:tcW w:type="dxa" w:w="1701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11/18</w:t>
            </w:r>
          </w:p>
        </w:tc>
        <w:tc>
          <w:tcPr>
            <w:tcW w:type="dxa" w:w="181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61.1%</w:t>
            </w:r>
          </w:p>
        </w:tc>
        <w:tc>
          <w:tcPr>
            <w:tcW w:type="dxa" w:w="2835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38.6% – 79.7%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10  三种结构的召回率与置信区间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14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置信区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4  A2 与 A3 的召回 95% 置信区间显著重叠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A2 与 A3 的置信区间大面积重叠（43.8%–83.7% 与 38.6%–79.7%），1 个匹配的差异约为 5.6 个百分点，远小于区间宽度。因此在当前样本量下，不能判定 A2 与 A3 在静态图上存在实质优劣。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定稿选择 A3 的依据是：其一，在同一视频 ROI 抽样中 A3 的匹配数更高（8/15 对 6/15），说明 P4 跨尺度条件在帧间尺度变化场景中更有利；其二，门控仅增加 0.39% 的参数。这是工程取舍，而非“A3 全面优于 A2”的结论。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6.4 观察模式与召回—代价权衡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同一模型可通过调整输入分辨率与复核策略，在召回与耗时之间取舍：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rPr>
          <w:tblHeader w:val="true"/>
          <w:cantSplit w:val="true"/>
        </w:trPr>
        <w:tc>
          <w:tcPr>
            <w:tcW w:type="dxa" w:w="192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观察模式</w:t>
            </w:r>
          </w:p>
        </w:tc>
        <w:tc>
          <w:tcPr>
            <w:tcW w:type="dxa" w:w="90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阈值</w:t>
            </w:r>
          </w:p>
        </w:tc>
        <w:tc>
          <w:tcPr>
            <w:tcW w:type="dxa" w:w="147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TP/FP/FN</w:t>
            </w:r>
          </w:p>
        </w:tc>
        <w:tc>
          <w:tcPr>
            <w:tcW w:type="dxa" w:w="113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精确率</w:t>
            </w:r>
          </w:p>
        </w:tc>
        <w:tc>
          <w:tcPr>
            <w:tcW w:type="dxa" w:w="113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召回率</w:t>
            </w:r>
          </w:p>
        </w:tc>
        <w:tc>
          <w:tcPr>
            <w:tcW w:type="dxa" w:w="907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F1</w:t>
            </w:r>
          </w:p>
        </w:tc>
        <w:tc>
          <w:tcPr>
            <w:tcW w:type="dxa" w:w="1134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耗时(ms)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标准 640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0.25</w:t>
            </w:r>
          </w:p>
        </w:tc>
        <w:tc>
          <w:tcPr>
            <w:tcW w:type="dxa" w:w="147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11/2/7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84.6%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61.1%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0.710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48.7</w:t>
            </w:r>
          </w:p>
        </w:tc>
      </w:tr>
      <w:tr>
        <w:trPr>
          <w:cantSplit w:val="true"/>
        </w:trPr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标准 640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0.15</w:t>
            </w:r>
          </w:p>
        </w:tc>
        <w:tc>
          <w:tcPr>
            <w:tcW w:type="dxa" w:w="147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12/3/6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80.0%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66.7%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0.727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51.0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高分辨率 960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0.25</w:t>
            </w:r>
          </w:p>
        </w:tc>
        <w:tc>
          <w:tcPr>
            <w:tcW w:type="dxa" w:w="147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14/6/4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70.0%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77.8%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0.737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120.9</w:t>
            </w:r>
          </w:p>
        </w:tc>
      </w:tr>
      <w:tr>
        <w:trPr>
          <w:cantSplit w:val="true"/>
        </w:trPr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高分辨率 960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0.15</w:t>
            </w:r>
          </w:p>
        </w:tc>
        <w:tc>
          <w:tcPr>
            <w:tcW w:type="dxa" w:w="147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15/7/3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68.2%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83.3%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0.750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116.9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局部复核 640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0.25</w:t>
            </w:r>
          </w:p>
        </w:tc>
        <w:tc>
          <w:tcPr>
            <w:tcW w:type="dxa" w:w="147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13/2/5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86.7%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72.2%</w:t>
            </w:r>
          </w:p>
        </w:tc>
        <w:tc>
          <w:tcPr>
            <w:tcW w:type="dxa" w:w="907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0.788</w:t>
            </w:r>
          </w:p>
        </w:tc>
        <w:tc>
          <w:tcPr>
            <w:tcW w:type="dxa" w:w="1134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233.2</w:t>
            </w:r>
          </w:p>
        </w:tc>
      </w:tr>
      <w:tr>
        <w:trPr>
          <w:cantSplit w:val="true"/>
        </w:trPr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局部复核 640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0.15</w:t>
            </w:r>
          </w:p>
        </w:tc>
        <w:tc>
          <w:tcPr>
            <w:tcW w:type="dxa" w:w="147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14/3/4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82.3%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77.8%</w:t>
            </w:r>
          </w:p>
        </w:tc>
        <w:tc>
          <w:tcPr>
            <w:tcW w:type="dxa" w:w="907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0.800</w:t>
            </w:r>
          </w:p>
        </w:tc>
        <w:tc>
          <w:tcPr>
            <w:tcW w:type="dxa" w:w="1134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210.7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11  观察模式与阈值的召回—代价对照（开发集，CPU）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343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召回代价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5  观察模式在召回率与耗时之间的权衡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提高输入分辨率是提升召回最有效的手段：960 输入使召回从 61.1% 提升至 77.8%，代价是耗时约 2.5 倍；局部复核模式在 F1 上表现最好（0.800），耗时约 4.3 倍。降低阈值收益有限，且会增加误检。因此系统默认采用标准模式以保证交互响应，对可疑点位由人工主动切换到高分辨率或局部复核。</w:t>
      </w:r>
    </w:p>
    <w:p>
      <w:pPr>
        <w:spacing w:before="120" w:after="160" w:line="336" w:lineRule="auto"/>
        <w:ind w:left="113" w:right="113"/>
        <w:pBdr>
          <w:top w:val="single" w:sz="6" w:space="4" w:color="e8c9a0"/>
          <w:left w:val="single" w:sz="6" w:space="4" w:color="e8c9a0"/>
          <w:bottom w:val="single" w:sz="6" w:space="4" w:color="e8c9a0"/>
          <w:right w:val="single" w:sz="6" w:space="4" w:color="e8c9a0"/>
        </w:pBdr>
        <w:shd w:val="clear" w:fill="fdf6ec"/>
      </w:pPr>
      <w:r>
        <w:rPr>
          <w:rFonts w:ascii="Times New Roman" w:hAnsi="Times New Roman" w:eastAsia="宋体"/>
          <w:b w:val="0"/>
          <w:color w:val="7A4A17"/>
          <w:sz w:val="19"/>
        </w:rPr>
        <w:t>表 11 耗时为 CPU 环境实测，GPU 环境会显著更低；两种设备的数字不可直接比较。以上结果仍来自已参与调参的开发集。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6.5 能力边界：尺寸与失效情形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按目标在原图中的短边尺寸分箱统计（共 978 个标注框）：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2835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尺寸分箱</w:t>
            </w:r>
          </w:p>
        </w:tc>
        <w:tc>
          <w:tcPr>
            <w:tcW w:type="dxa" w:w="192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标注框数</w:t>
            </w:r>
          </w:p>
        </w:tc>
        <w:tc>
          <w:tcPr>
            <w:tcW w:type="dxa" w:w="192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检出数</w:t>
            </w:r>
          </w:p>
        </w:tc>
        <w:tc>
          <w:tcPr>
            <w:tcW w:type="dxa" w:w="1928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召回率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短边&lt;8px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8-16px</w:t>
            </w:r>
          </w:p>
        </w:tc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381</w:t>
            </w:r>
          </w:p>
        </w:tc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376</w:t>
            </w:r>
          </w:p>
        </w:tc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98.7%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16-32px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461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459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99.6%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32-64px</w:t>
            </w:r>
          </w:p>
        </w:tc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</w:t>
            </w:r>
          </w:p>
        </w:tc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  <w:tc>
          <w:tcPr>
            <w:tcW w:type="dxa" w:w="1928"/>
            <w:shd w:val="clear" w:fill="f4f7f9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95.8%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keepNext/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&gt;=64px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keepNext/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86.7%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12  按原图短边尺寸的召回分布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477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尺寸召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7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6  尺寸—召回关系（训练集内统计，非泛化结论）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其中短边不足 8 像素的标注框共 48 个，短边中位数为 17.5 像素。值得注意的是，尺寸大于 64 像素的目标召回反而下降，这与近景目标易被画面边缘裁切、形状拉长导致框贴合度下降有关，属于可解释的边界失效。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6.6 典型失效案例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为避免只呈现有利样本，本节列出开发与训练数据中的真实失效案例。图中绿色框为人工标注，橙色框为模型预测。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45659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VIEW_Q496_漏检F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565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7  同图内尺度差异导致的部分漏检：5 个标注仅检出顶部 1 个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REVIEW_W2679_误检F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8  金属高光与阀件边缘引起的误检（该图无标注目标）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DROP_0481_误检FP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9  同一滴水产生两个检测框（小框重复检测）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Q49_漏检F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10  框位置偏差导致同一目标同时计入 FP 与 FN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6.7 系统界面与复核流程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工作台采用四视图结构：智能检测工作台、事件与人工复核、任务与巡检记录、模型与实验说明。所有数值均来自本地后端实时数据，无数据时显示空态而非填充模拟值。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57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当前UI_1_工作台_168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11  智能检测工作台：检测结果、设备与耗时均来自后端实测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57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当前UI_2_事件复核_168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12  事件与人工复核：候选清单、证据图像与复核表单三栏联动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257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当前UI_3_任务记录_168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图 13  任务与巡检记录：任务状态、模型配置与导出入口</w:t>
      </w:r>
    </w:p>
    <w:p>
      <w:pPr>
        <w:keepNext/>
        <w:pageBreakBefore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七、总结与展望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7.1 当前结论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项目完成了以 YOLOv8n 与 CSEdgeGate 为核心的微滴检测软件系统，并将图片局部复核、视频区域提示、事件证据与人工判断串联为可运行闭环。对轮机工程实训的适配体现在目标定义、工况解释与复核记录，而不只是把通用检测框叠加在机舱照片上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当前证据支持：系统流程可运行、定稿权重可加载、内部图片结果可追溯、软件工程验证全部通过。算法层面，A3 相对基线在内部指标上存在改善与取舍，后续多项尝试并未稳定提高结果；报告保留这些负结果，不把所有研究模块写入正式方案。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7.2 局限与失败情形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数据主要来自少数固定画面及公开来源，设备编号与拍摄批次信息不完整；微滴框、细颈与反光的标注口径仍需独立人工验收。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低照度、强颗粒、运动模糊、远景极小目标与移动镜头均可能造成漏检或误检。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模型把可见独立水滴作为目标，无法仅凭水滴判断设备异常；正常出水也可能产生正确检出的水滴。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尚无完整事件级真值，不能报告可靠的事件漏检率、每分钟误报数或首次发现延迟。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训练脚本与完整消融日志未随交付包提供，训练流程不具备完整复现条件。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7.3 后续验证安排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按优先级排序，后续工作包括：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由实际验收人员统一“可辨独立滴、清晰细颈与不确定亮点”的规则，形成带版本记录的标注。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按真实物理设备与独立拍摄批次建立封存测试集，仅评测一次，用于报告独立泛化结果。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在同一数据划分与训练条件下补做多随机种子的公平消融，报告均值与波动区间。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开展小规模轮机工程实训观察研究，记录任务完成时间、判断正确性与证据解释质量。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在上述工作完成后，再对接机器人图像流与点位信息，验证移动视角、时间同步与端侧性能。</w:t>
      </w:r>
    </w:p>
    <w:p>
      <w:pPr>
        <w:keepNext/>
        <w:pageBreakBefore/>
        <w:spacing w:before="280" w:after="160"/>
        <w:pBdr>
          <w:bottom w:val="single" w:sz="8" w:space="2" w:color="16324a"/>
        </w:pBdr>
      </w:pPr>
      <w:r>
        <w:rPr>
          <w:rFonts w:ascii="Times New Roman" w:hAnsi="Times New Roman" w:eastAsia="黑体"/>
          <w:b/>
          <w:color w:val="16324A"/>
          <w:sz w:val="28"/>
        </w:rPr>
        <w:t>八、附录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8.1 关键文件与模型索引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2835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5783"/>
            <w:shd w:val="clear" w:fill="16324a"/>
          </w:tcPr>
          <w:p>
            <w:pPr>
              <w:keepNext/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包内位置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定稿模型权重</w:t>
            </w:r>
          </w:p>
        </w:tc>
        <w:tc>
          <w:tcPr>
            <w:tcW w:type="dxa" w:w="5783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模型/best.pt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模型指纹</w:t>
            </w:r>
          </w:p>
        </w:tc>
        <w:tc>
          <w:tcPr>
            <w:tcW w:type="dxa" w:w="5783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SHA-256 f6c4f73e9bf20ffe2b1e29a3651d948074242839429ef6df2a14ee6b0eefc4d3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核心算法模块</w:t>
            </w:r>
          </w:p>
        </w:tc>
        <w:tc>
          <w:tcPr>
            <w:tcW w:type="dxa" w:w="5783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YOLOv8n_微滴算法_V8_20261016/csedgegate.py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结构配置</w:t>
            </w:r>
          </w:p>
        </w:tc>
        <w:tc>
          <w:tcPr>
            <w:tcW w:type="dxa" w:w="5783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YOLOv8n_微滴算法_V8_20261016/configs/A0.yaml – A7.yaml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局部复核</w:t>
            </w:r>
          </w:p>
        </w:tc>
        <w:tc>
          <w:tcPr>
            <w:tcW w:type="dxa" w:w="5783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YOLOv8n_微滴算法_V8_20261016/local_zoom_review.py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巡检系统</w:t>
            </w:r>
          </w:p>
        </w:tc>
        <w:tc>
          <w:tcPr>
            <w:tcW w:type="dxa" w:w="5783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管路巡检系统_20261016/patrol.py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前端界面</w:t>
            </w:r>
          </w:p>
        </w:tc>
        <w:tc>
          <w:tcPr>
            <w:tcW w:type="dxa" w:w="5783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管路巡检系统_20261016/web/</w:t>
            </w:r>
          </w:p>
        </w:tc>
      </w:tr>
      <w:tr>
        <w:trPr>
          <w:cantSplit w:val="true"/>
        </w:trPr>
        <w:tc>
          <w:tcPr>
            <w:tcW w:type="dxa" w:w="2835"/>
            <w:shd w:val="clear" w:fill="f4f7f9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数据与标签</w:t>
            </w:r>
          </w:p>
        </w:tc>
        <w:tc>
          <w:tcPr>
            <w:tcW w:type="dxa" w:w="5783"/>
            <w:shd w:val="clear" w:fill="f4f7f9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管路微滴训练集_V1/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工程验证记录</w:t>
            </w:r>
          </w:p>
        </w:tc>
        <w:tc>
          <w:tcPr>
            <w:tcW w:type="dxa" w:w="5783"/>
          </w:tcPr>
          <w:p>
            <w:pPr>
              <w:spacing w:before="50" w:after="50" w:line="31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_00_工作区/测试与证据/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color w:val="5A6B78"/>
          <w:sz w:val="18"/>
        </w:rPr>
        <w:t>表 13  关键文件索引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8.2 运行方式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本机运行（端口 7862）：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GPU 环境：运行 python 运行工作台.py，或双击 启动GPU工作台.bat。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CPU 参考模式（无 NVIDIA 显卡时）：使用 _00_工作区/测试与证据/workbench_cpu.py 启动。</w:t>
      </w:r>
    </w:p>
    <w:p>
      <w:pPr>
        <w:pStyle w:val="ListBullet"/>
        <w:spacing w:before="20" w:after="40" w:line="348" w:lineRule="auto"/>
        <w:ind w:left="425"/>
      </w:pPr>
      <w:r>
        <w:rPr>
          <w:rFonts w:ascii="Times New Roman" w:hAnsi="Times New Roman" w:eastAsia="宋体"/>
          <w:b w:val="0"/>
          <w:sz w:val="21"/>
        </w:rPr>
        <w:t>浏览器访问 http://127.0.0.1:7862。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环境自检：依次运行 检查文件.py（完整性）与 检查运行环境.py（依赖与模型加载）。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8.3 复现说明</w:t>
      </w:r>
    </w:p>
    <w:p>
      <w:pPr>
        <w:spacing w:before="0" w:after="80" w:line="372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推理复现：交付包内含隔离的 Ultralytics 源码副本与自定义模块，安装 PyTorch 与基础依赖后即可复现检测结果；模型权重的 SHA-256 可用于校验一致性。训练复现：训练脚本未随轻量包提供，本报告不宣称训练流程可完整复现。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F7D7A"/>
          <w:sz w:val="24"/>
        </w:rPr>
        <w:t>8.4 参考资料</w:t>
      </w:r>
    </w:p>
    <w:p>
      <w:pPr>
        <w:spacing w:before="0" w:after="60" w:line="372" w:lineRule="auto"/>
      </w:pPr>
      <w:r>
        <w:rPr>
          <w:rFonts w:ascii="Times New Roman" w:hAnsi="Times New Roman" w:eastAsia="宋体"/>
          <w:b w:val="0"/>
          <w:sz w:val="19"/>
        </w:rPr>
        <w:t>[1] 2026 第八届全球校园人工智能算法精英大赛算法创新赛竞赛规则，2026 年 5 月版。</w:t>
      </w:r>
    </w:p>
    <w:p>
      <w:pPr>
        <w:spacing w:before="0" w:after="60" w:line="372" w:lineRule="auto"/>
      </w:pPr>
      <w:r>
        <w:rPr>
          <w:rFonts w:ascii="Times New Roman" w:hAnsi="Times New Roman" w:eastAsia="宋体"/>
          <w:b w:val="0"/>
          <w:sz w:val="19"/>
        </w:rPr>
        <w:t>[2] Ultralytics. YOLOv8 documentation. https://docs.ultralytics.com/models/yolov8/</w:t>
      </w:r>
    </w:p>
    <w:p>
      <w:pPr>
        <w:spacing w:before="0" w:after="60" w:line="372" w:lineRule="auto"/>
      </w:pPr>
      <w:r>
        <w:rPr>
          <w:rFonts w:ascii="Times New Roman" w:hAnsi="Times New Roman" w:eastAsia="宋体"/>
          <w:b w:val="0"/>
          <w:sz w:val="19"/>
        </w:rPr>
        <w:t>[3] Takikawa T, Acuna D, Jampani V, Fidler S. Gated-SCNN: Gated Shape CNNs for Semantic Segmentation. ICCV, 2019: 5229–5238.</w:t>
      </w:r>
    </w:p>
    <w:p>
      <w:pPr>
        <w:spacing w:before="0" w:after="60" w:line="372" w:lineRule="auto"/>
      </w:pPr>
      <w:r>
        <w:rPr>
          <w:rFonts w:ascii="Times New Roman" w:hAnsi="Times New Roman" w:eastAsia="宋体"/>
          <w:b w:val="0"/>
          <w:sz w:val="19"/>
        </w:rPr>
        <w:t>[4] Wilson E B. Probable inference, the law of succession, and statistical inference. Journal of the American Statistical Association, 1927, 22(158): 209–212.</w:t>
      </w:r>
    </w:p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A6B7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