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2c85f15eac574e04"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8ad8926e72b34c26"/>
                    <a:stretch>
                      <a:fillRect/>
                    </a:stretch>
                  </pic:blipFill>
                  <pic:spPr>
                    <a:xfrm>
                      <a:off x="0" y="0"/>
                      <a:ext cx="7560000" cy="10692000"/>
                    </a:xfrm>
                    <a:prstGeom prst="rect"/>
                  </pic:spPr>
                </pic:pic>
              </a:graphicData>
            </a:graphic>
          </wp:anchor>
        </w:drawing>
      </w:r>
    </w:p>
    <w:p>
      <w:pPr>
        <w:spacing w:before="2400"/>
      </w:pPr>
      <w:r/>
    </w:p>
    <w:p>
      <w:pPr>
        <w:spacing w:after="200"/>
        <w:jc w:val="center"/>
      </w:pPr>
      <w:r>
        <w:rPr>
          <w:rFonts w:eastAsia="SimHei"/>
          <w:color w:val="6B6B6B"/>
          <w:sz w:val="36"/>
        </w:rPr>
        <w:t>2025年（第18届）中国大学生计算机设计大赛</w:t>
      </w:r>
    </w:p>
    <w:p>
      <w:pPr>
        <w:spacing w:after="600"/>
        <w:jc w:val="center"/>
      </w:pPr>
      <w:r>
        <w:rPr>
          <w:rFonts w:eastAsia="SimHei"/>
          <w:color w:val="9B8CB5"/>
          <w:sz w:val="32"/>
        </w:rPr>
        <w:t>大数据实践赛作品报告</w:t>
      </w:r>
    </w:p>
    <w:p>
      <w:pPr>
        <w:spacing w:before="1200"/>
      </w:pPr>
      <w:r/>
    </w:p>
    <w:p>
      <w:pPr>
        <w:spacing w:after="200"/>
        <w:jc w:val="center"/>
      </w:pPr>
      <w:r>
        <w:rPr>
          <w:rFonts w:eastAsia="SimHei"/>
          <w:color w:val="C490B0"/>
          <w:sz w:val="48"/>
        </w:rPr>
        <w:t>解码“她”的数据</w:t>
      </w:r>
    </w:p>
    <w:p>
      <w:pPr>
        <w:spacing w:after="800"/>
        <w:jc w:val="center"/>
      </w:pPr>
      <w:r>
        <w:rPr>
          <w:color w:val="6B6B6B"/>
          <w:sz w:val="28"/>
        </w:rPr>
        <w:t>基于Uplift因果推断的珀莱雅精准营销增效模型</w:t>
      </w:r>
    </w:p>
    <w:p>
      <w:pPr>
        <w:spacing w:before="1600"/>
      </w:pPr>
      <w:r/>
    </w:p>
    <w:p>
      <w:pPr>
        <w:spacing w:after="160"/>
        <w:jc w:val="center"/>
      </w:pPr>
      <w:r>
        <w:rPr>
          <w:color w:val="4A4A4A"/>
          <w:sz w:val="22"/>
        </w:rPr>
        <w:t>作品编号：____________________</w:t>
      </w:r>
    </w:p>
    <w:p>
      <w:pPr>
        <w:spacing w:after="160"/>
        <w:jc w:val="center"/>
      </w:pPr>
      <w:r>
        <w:rPr>
          <w:color w:val="4A4A4A"/>
          <w:sz w:val="22"/>
        </w:rPr>
        <w:t>作品名称：解码“她”的数据——基于Uplift因果推断的珀莱雅精准营销增效模型</w:t>
      </w:r>
    </w:p>
    <w:p>
      <w:pPr>
        <w:spacing w:after="160"/>
        <w:jc w:val="center"/>
      </w:pPr>
      <w:r>
        <w:rPr>
          <w:color w:val="4A4A4A"/>
          <w:sz w:val="22"/>
        </w:rPr>
        <w:t>填写日期：2025年4月</w:t>
      </w:r>
    </w:p>
    <w:p>
      <w:pPr>
        <w:sectPr>
          <w:type w:val="nextPage"/>
          <w:pgSz w:w="11906" w:h="16838"/>
          <w:pgMar w:top="0" w:right="0" w:bottom="0" w:left="0" w:header="0" w:footer="0"/>
        </w:sectPr>
      </w:pPr>
    </w:p>
    <w:p>
      <w:pPr>
        <w:pStyle w:val="Heading1"/>
      </w:pPr>
      <w:bookmarkStart w:name="_Toc000" w:id="0"/>
      <w:r>
        <w:t>目录</w:t>
      </w:r>
      <w:bookmarkEnd w:id="0"/>
    </w:p>
    <w:p>
      <w:pPr>
        <w:spacing w:after="300"/>
      </w:pPr>
      <w:r>
        <w:rPr>
          <w:color w:val="9B9B9B"/>
          <w:sz w:val="18"/>
        </w:rPr>
        <w:t>（提示：首次打开请右键点击目录，选择“更新域”刷新页码）</w:t>
      </w:r>
    </w:p>
    <w:p>
      <w:r>
        <w:fldChar w:fldCharType="begin"/>
      </w:r>
      <w:r>
        <w:instrText xml:space="preserve"> TOC \o "1-3" \h \z \u </w:instrText>
      </w:r>
      <w:r>
        <w:fldChar w:fldCharType="separate"/>
      </w:r>
    </w:p>
    <w:p>
      <w:pPr>
        <w:pStyle w:val="TOC1"/>
      </w:pPr>
      <w:r>
        <w:t>第1章 作品概述</w:t>
      </w:r>
      <w:r>
        <w:tab/>
      </w:r>
      <w:r>
        <w:t>1</w:t>
      </w:r>
    </w:p>
    <w:p>
      <w:pPr>
        <w:pStyle w:val="TOC1"/>
      </w:pPr>
      <w:r>
        <w:t>第2章 问题分析</w:t>
      </w:r>
      <w:r>
        <w:tab/>
      </w:r>
      <w:r>
        <w:t>2</w:t>
      </w:r>
    </w:p>
    <w:p>
      <w:pPr>
        <w:pStyle w:val="TOC2"/>
      </w:pPr>
      <w:r>
        <w:t>2.1 问题来源</w:t>
      </w:r>
      <w:r>
        <w:tab/>
      </w:r>
      <w:r>
        <w:t>2</w:t>
      </w:r>
    </w:p>
    <w:p>
      <w:pPr>
        <w:pStyle w:val="TOC2"/>
      </w:pPr>
      <w:r>
        <w:t>2.2 现有解决方案</w:t>
      </w:r>
      <w:r>
        <w:tab/>
      </w:r>
      <w:r>
        <w:t>3</w:t>
      </w:r>
    </w:p>
    <w:p>
      <w:pPr>
        <w:pStyle w:val="TOC2"/>
      </w:pPr>
      <w:r>
        <w:t>2.3 本作品要解决的痛点问题</w:t>
      </w:r>
      <w:r>
        <w:tab/>
      </w:r>
      <w:r>
        <w:t>4</w:t>
      </w:r>
    </w:p>
    <w:p>
      <w:pPr>
        <w:pStyle w:val="TOC2"/>
      </w:pPr>
      <w:r>
        <w:t>2.4 解决问题的思路</w:t>
      </w:r>
      <w:r>
        <w:tab/>
      </w:r>
      <w:r>
        <w:t>5</w:t>
      </w:r>
    </w:p>
    <w:p>
      <w:pPr>
        <w:pStyle w:val="TOC1"/>
      </w:pPr>
      <w:r>
        <w:t>第3章 技术方案</w:t>
      </w:r>
      <w:r>
        <w:tab/>
      </w:r>
      <w:r>
        <w:t>6</w:t>
      </w:r>
    </w:p>
    <w:p>
      <w:pPr>
        <w:pStyle w:val="TOC1"/>
      </w:pPr>
      <w:r>
        <w:t>第4章 系统实现</w:t>
      </w:r>
      <w:r>
        <w:tab/>
      </w:r>
      <w:r>
        <w:t>10</w:t>
      </w:r>
    </w:p>
    <w:p>
      <w:pPr>
        <w:pStyle w:val="TOC1"/>
      </w:pPr>
      <w:r>
        <w:t>第5章 测试分析</w:t>
      </w:r>
      <w:r>
        <w:tab/>
      </w:r>
      <w:r>
        <w:t>14</w:t>
      </w:r>
    </w:p>
    <w:p>
      <w:pPr>
        <w:pStyle w:val="TOC1"/>
      </w:pPr>
      <w:r>
        <w:t>第6章 作品总结</w:t>
      </w:r>
      <w:r>
        <w:tab/>
      </w:r>
      <w:r>
        <w:t>18</w:t>
      </w:r>
    </w:p>
    <w:p>
      <w:pPr>
        <w:pStyle w:val="TOC2"/>
      </w:pPr>
      <w:r>
        <w:t>6.1 作品特色与创新点</w:t>
      </w:r>
      <w:r>
        <w:tab/>
      </w:r>
      <w:r>
        <w:t>18</w:t>
      </w:r>
    </w:p>
    <w:p>
      <w:pPr>
        <w:pStyle w:val="TOC2"/>
      </w:pPr>
      <w:r>
        <w:t>6.2 应用推广</w:t>
      </w:r>
      <w:r>
        <w:tab/>
      </w:r>
      <w:r>
        <w:t>19</w:t>
      </w:r>
    </w:p>
    <w:p>
      <w:pPr>
        <w:pStyle w:val="TOC2"/>
      </w:pPr>
      <w:r>
        <w:t>6.3 作品展望</w:t>
      </w:r>
      <w:r>
        <w:tab/>
      </w:r>
      <w:r>
        <w:t>20</w:t>
      </w:r>
    </w:p>
    <w:p>
      <w:pPr>
        <w:pStyle w:val="TOC1"/>
      </w:pPr>
      <w:r>
        <w:t>参考文献</w:t>
      </w:r>
      <w:r>
        <w:tab/>
      </w:r>
      <w:r>
        <w:t>21</w:t>
      </w:r>
    </w:p>
    <w:p>
      <w:r>
        <w:fldChar w:fldCharType="end"/>
      </w:r>
    </w:p>
    <w:p>
      <w:pPr>
        <w:sectPr>
          <w:type w:val="nextPage"/>
          <w:pgSz w:w="11906" w:h="16838"/>
          <w:pgMar w:top="1800" w:right="1440" w:bottom="1440" w:left="1440" w:header="720" w:footer="720"/>
        </w:sectPr>
      </w:pPr>
    </w:p>
    <w:p>
      <w:pPr>
        <w:pStyle w:val="Heading1"/>
      </w:pPr>
      <w:bookmarkStart w:name="_Toc001" w:id="001"/>
      <w:r>
        <w:t>第1章 作品概述</w:t>
      </w:r>
      <w:bookmarkEnd w:id="001"/>
    </w:p>
    <w:p>
      <w:r>
        <w:t>在数字化营销时代，精准识别并触达高价值用户已成为品牌增长的核心驱动力。然而，传统基于RFM分层的用户价值评估方法仅能识别“高价值用户”，却无法区分用户对营销干预的真实响应差异，导致大量营销资源被投放于“自然转化型”用户或“反作用型”用户，造成预算浪费甚至负面影响。如何从“寻找高价值用户”转向“识别易感用户”，成为美妆行业精细化运营亟待突破的核心问题。</w:t>
      </w:r>
    </w:p>
    <w:p>
      <w:r>
        <w:t>为此，本研究以国货美妆代表品牌珀莱雅为研究对象，构建了一套融合描述性分析与因果推断的精准营销增效模型，旨在为美妆行业的精细化运营提供可量化的决策支持。本作品围绕“如何识别对营销敏感的用户”这一核心问题，展开三阶段递进式实证分析，依次从用户画像洞察、因果效应识别到策略优化三个层面构建完整的研究框架。</w:t>
      </w:r>
    </w:p>
    <w:p>
      <w:r>
        <w:t>本作品的主要功能包括：（1）用户价值深度挖掘与精细化运营体系构建，通过RFM模型、K-means聚类、肤质-产品匹配度矩阵与关联规则挖掘实现用户全方位洞察；（2）基于Uplift因果推断模型的营销敏感度识别，将用户精准划分为敏感型、自然转化型、反作用型和沉睡型四类；（3）智能营销策略生成与ROI预估，基于模型输出自动生成个性化营销策略并进行投资回报率评估。</w:t>
      </w:r>
    </w:p>
    <w:p>
      <w:r>
        <w:t>本作品的应用价值体现在：为珀莱雅及类似美妆品牌提供从用户洞察到营销执行的全链路决策支持，实现从“经验驱动”向“算法驱动”的转型，具备高度的可复制性和商业化潜力。经实际数据验证，本作品的Uplift驱动策略相较传统随机投放可实现76.2%的净收益提升。</w:t>
      </w:r>
    </w:p>
    <w:p>
      <w:r>
        <w:br w:type="page"/>
      </w:r>
    </w:p>
    <w:p>
      <w:pPr>
        <w:pStyle w:val="Heading1"/>
      </w:pPr>
      <w:bookmarkStart w:name="_Toc002" w:id="002"/>
      <w:r>
        <w:t>第2章 问题分析</w:t>
      </w:r>
      <w:bookmarkEnd w:id="002"/>
    </w:p>
    <w:p>
      <w:pPr>
        <w:pStyle w:val="Heading2"/>
      </w:pPr>
      <w:r>
        <w:t>2.1 问题来源</w:t>
      </w:r>
    </w:p>
    <w:p>
      <w:r>
        <w:t>美妆行业作为消费品领域的重要赛道，近年来呈现出高速增长态势。然而，随着市场竞争加剧和流量成本攀升，品牌面临的精准营销困境日益凸显：</w:t>
      </w:r>
    </w:p>
    <w:p>
      <w:pPr>
        <w:numPr>
          <w:ilvl w:val="0"/>
          <w:numId w:val="1"/>
        </w:numPr>
      </w:pPr>
      <w:r>
        <w:rPr>
          <w:b/>
        </w:rPr>
        <w:t>同质化推荐困境</w:t>
      </w:r>
      <w:r>
        <w:t>：传统推荐系统基于用户历史购买行为进行相似商品推荐，导致用户反复看到同类商品，难以挖掘跨品类购买潜力</w:t>
      </w:r>
    </w:p>
    <w:p>
      <w:pPr>
        <w:numPr>
          <w:ilvl w:val="0"/>
          <w:numId w:val="1"/>
        </w:numPr>
      </w:pPr>
      <w:r>
        <w:rPr>
          <w:b/>
        </w:rPr>
        <w:t>营销资源浪费严重</w:t>
      </w:r>
      <w:r>
        <w:t>：大量营销预算被投放给“本来就会购买”的自然转化型用户，造成预算浪费</w:t>
      </w:r>
    </w:p>
    <w:p>
      <w:pPr>
        <w:numPr>
          <w:ilvl w:val="0"/>
          <w:numId w:val="1"/>
        </w:numPr>
      </w:pPr>
      <w:r>
        <w:rPr>
          <w:b/>
        </w:rPr>
        <w:t>会员转化困难</w:t>
      </w:r>
      <w:r>
        <w:t>：非会员用户占比高达53%，传统营销方式难以有效激发其购买意愿</w:t>
      </w:r>
    </w:p>
    <w:p>
      <w:pPr>
        <w:numPr>
          <w:ilvl w:val="0"/>
          <w:numId w:val="1"/>
        </w:numPr>
      </w:pPr>
      <w:r>
        <w:rPr>
          <w:b/>
        </w:rPr>
        <w:t>肤质与产品匹配度低</w:t>
      </w:r>
      <w:r>
        <w:t>：当前销售主要依赖用户基数，未充分发挥产品-肤质匹配度的优势</w:t>
      </w:r>
    </w:p>
    <w:p>
      <w:pPr>
        <w:pStyle w:val="Heading2"/>
      </w:pPr>
      <w:r>
        <w:t>2.2 现有解决方案</w:t>
      </w:r>
    </w:p>
    <w:p>
      <w:r>
        <w:t>目前美妆行业主要采用以下解决方案，但均存在一定局限性：</w:t>
      </w:r>
    </w:p>
    <w:p>
      <w:pPr>
        <w:ind w:firstLine="0"/>
      </w:pPr>
      <w:r>
        <w:rPr>
          <w:b/>
        </w:rPr>
        <w:t>RFM分层模型：</w:t>
      </w:r>
      <w:r>
        <w:t>通过最近购买时间（Recency）、购买频率（Frequency）、消费金额（Monetary）三个维度对用户进行分层。该方法的局限在于仅能识别“高价值用户”，无法区分用户对营销干预的真实响应差异。</w:t>
      </w:r>
    </w:p>
    <w:p>
      <w:pPr>
        <w:ind w:firstLine="0"/>
      </w:pPr>
      <w:r>
        <w:rPr>
          <w:b/>
        </w:rPr>
        <w:t>协同过滤推荐：</w:t>
      </w:r>
      <w:r>
        <w:t>基于用户-商品交互矩阵发现相似用户或相似商品。该方法存在冷启动问题，且难以解释推荐原因。</w:t>
      </w:r>
    </w:p>
    <w:p>
      <w:pPr>
        <w:ind w:firstLine="0"/>
      </w:pPr>
      <w:r>
        <w:rPr>
          <w:b/>
        </w:rPr>
        <w:t>传统响应预测模型：</w:t>
      </w:r>
      <w:r>
        <w:t>基于用户特征预测其购买概率。该方法无法区分“自然转化”与“营销驱动转化”，导致营销资源错配。</w:t>
      </w:r>
    </w:p>
    <w:p>
      <w:pPr>
        <w:pStyle w:val="Heading2"/>
      </w:pPr>
      <w:r>
        <w:t>2.3 本作品要解决的痛点问题</w:t>
      </w:r>
    </w:p>
    <w:p>
      <w:r>
        <w:t>基于上述分析，本作品聚焦解决以下核心痛点问题：</w:t>
      </w:r>
    </w:p>
    <w:p>
      <w:pPr>
        <w:numPr>
          <w:ilvl w:val="0"/>
          <w:numId w:val="1"/>
        </w:numPr>
      </w:pPr>
      <w:r>
        <w:rPr>
          <w:b/>
        </w:rPr>
        <w:t>从“找高价值用户”到“找易感用户”的范式转变</w:t>
      </w:r>
      <w:r>
        <w:t>：传统RFM模型只能识别高价值用户，但无法判断哪些用户会被营销干预所影响。本作品引入Uplift因果推断模型，量化营销干预的真实增量效果，实现精准识别营销敏感型用户。</w:t>
      </w:r>
    </w:p>
    <w:p>
      <w:pPr>
        <w:numPr>
          <w:ilvl w:val="0"/>
          <w:numId w:val="1"/>
        </w:numPr>
      </w:pPr>
      <w:r>
        <w:rPr>
          <w:b/>
        </w:rPr>
        <w:t>规避“反作用型”用户的营销触达</w:t>
      </w:r>
      <w:r>
        <w:t>：部分用户对营销干预呈现负向响应，过度营销反而会导致其流失。本作品通过因果推断识别此类用户，帮助品牌主动规避。</w:t>
      </w:r>
    </w:p>
    <w:p>
      <w:pPr>
        <w:numPr>
          <w:ilvl w:val="0"/>
          <w:numId w:val="1"/>
        </w:numPr>
      </w:pPr>
      <w:r>
        <w:rPr>
          <w:b/>
        </w:rPr>
        <w:t>构建“用户-肤质-产品-敏感度”四维标签体系</w:t>
      </w:r>
      <w:r>
        <w:t>：结合美妆行业特有属性，构建涵盖用户价值、肤质特征、产品偏好、营销敏感度的综合标签体系，实现精细化运营。</w:t>
      </w:r>
    </w:p>
    <w:p>
      <w:pPr>
        <w:pStyle w:val="Heading2"/>
      </w:pPr>
      <w:r>
        <w:t>2.4 解决问题的思路</w:t>
      </w:r>
    </w:p>
    <w:p>
      <w:r>
        <w:t>本作品采用“数据驱动+因果推断”的技术路线，从三个层面递进式解决问题：</w:t>
      </w:r>
    </w:p>
    <w:p>
      <w:pPr>
        <w:ind w:firstLine="0"/>
      </w:pPr>
      <w:r>
        <w:rPr>
          <w:b/>
        </w:rPr>
        <w:t>第一层：用户洞察层——</w:t>
      </w:r>
      <w:r>
        <w:t>基于RFM模型、K-means聚类、肤质-产品匹配度矩阵、关联规则挖掘等方法，构建用户全方位画像，理解用户价值、偏好与行为模式。</w:t>
      </w:r>
    </w:p>
    <w:p>
      <w:pPr>
        <w:ind w:firstLine="0"/>
      </w:pPr>
      <w:r>
        <w:rPr>
          <w:b/>
        </w:rPr>
        <w:t>第二层：因果推断层——</w:t>
      </w:r>
      <w:r>
        <w:t>引入Uplift模型，以优惠券发放为干预变量，采用T-Learner方法估计个体处理效应（ITE），将用户划分为敏感型、自然转化型、反作用型、沉睡型四类。</w:t>
      </w:r>
    </w:p>
    <w:p>
      <w:pPr>
        <w:ind w:firstLine="0"/>
      </w:pPr>
      <w:r>
        <w:rPr>
          <w:b/>
        </w:rPr>
        <w:t>第三层：策略优化层——</w:t>
      </w:r>
      <w:r>
        <w:t>基于Uplift模型输出，推导最优投放策略，进行ROI预估与对比分析，生成个性化营销策略与私信文案。</w:t>
      </w:r>
    </w:p>
    <w:p>
      <w:r>
        <w:t>本作品使用的数据集包括：珀莱雅用户数据（100,000条，含性别、年龄、肤质、会员状态等字段）、订单数据（393,211条，含商品信息、价格、购买时间等字段）。数据时间跨度为2025年6月至2026年3月。</w:t>
      </w:r>
    </w:p>
    <w:p>
      <w:r>
        <w:br w:type="page"/>
      </w:r>
    </w:p>
    <w:p>
      <w:pPr>
        <w:pStyle w:val="Heading1"/>
      </w:pPr>
      <w:bookmarkStart w:name="_Toc003" w:id="003"/>
      <w:r>
        <w:t>第3章 技术方案</w:t>
      </w:r>
      <w:bookmarkEnd w:id="003"/>
    </w:p>
    <w:p>
      <w:r>
        <w:t>本作品的技术方案采用“四层标签体系+智能决策引擎”的架构设计，从用户洞察到因果推断再到策略生成，形成完整的技术闭环。</w:t>
      </w:r>
    </w:p>
    <w:p>
      <w:pPr>
        <w:pStyle w:val="Heading2"/>
      </w:pPr>
      <w:r>
        <w:t>3.1 用户价值挖掘技术</w:t>
      </w:r>
    </w:p>
    <w:p>
      <w:pPr>
        <w:pStyle w:val="Heading3"/>
      </w:pPr>
      <w:r>
        <w:t>3.1.1 RFM模型</w:t>
      </w:r>
    </w:p>
    <w:p>
      <w:r>
        <w:t>RFM模型通过三个核心指标刻画用户行为：最近购买时间（Recency）、购买频率（Frequency）、消费金额（Monetary）。本作品结合美妆行业特点，设定1-5分评分规则：R评分按最近购买天数划分（≤30天→5分，&gt;180天→1分）；F评分按购买次数划分（≥5次→5分，0次→1分）；M评分按消费金额划分（≥1500元→5分，&lt;200元→1分）。综合得分=R评分×0.3+F评分×0.3+M评分×0.4，据此将用户划分为核心价值用户、潜力发展用户、高价值沉睡用户、低价值/流失用户四类。</w:t>
      </w:r>
    </w:p>
    <w:p>
      <w:pPr>
        <w:pStyle w:val="Heading3"/>
      </w:pPr>
      <w:r>
        <w:t>3.1.2 K-means聚类与功效偏好分析</w:t>
      </w:r>
    </w:p>
    <w:p>
      <w:r>
        <w:t>在RFM评分基础上，引入六大功效偏好特征（抗皱、修护、清爽、抗氧化、抗衰、保湿），采用K-means算法进行用户聚类。通过轮廓系数法确定最佳K值为10，将用户划分为高价值全能用户、中价值功效专精用户、低价值潜力唤醒用户等群体，揭示功效偏好与用户价值的关联。</w:t>
      </w:r>
    </w:p>
    <w:p>
      <w:pPr>
        <w:pStyle w:val="Heading2"/>
      </w:pPr>
      <w:r>
        <w:t>3.2 肤质-产品匹配技术</w:t>
      </w:r>
    </w:p>
    <w:p>
      <w:pPr>
        <w:pStyle w:val="Heading3"/>
      </w:pPr>
      <w:r>
        <w:t>3.2.1 产品系列标签化</w:t>
      </w:r>
    </w:p>
    <w:p>
      <w:r>
        <w:t>根据珀莱雅真实产品线，将商品划分为五大系列：源力系列（主打修护）、红宝石系列（主打抗皱）、双抗系列（主打抗氧化）、能量系列（主打抗衰）、基础保湿系列（主打补水）。</w:t>
      </w:r>
    </w:p>
    <w:p>
      <w:pPr>
        <w:pStyle w:val="Heading3"/>
      </w:pPr>
      <w:r>
        <w:t>3.2.2 肤质-产品匹配度矩阵</w:t>
      </w:r>
    </w:p>
    <w:p>
      <w:r>
        <w:t>基于产品核心功效、成分机制、质地特征，采用专家评分法（0-1分）构建肤质-产品匹配度矩阵。例如：敏感肌对源力系列匹配度高达0.95（修护功效契合），油性/混油对双抗系列匹配度0.85（清爽质地适配）。该矩阵作为个性化推荐的规则基础。</w:t>
      </w:r>
    </w:p>
    <w:p>
      <w:pPr>
        <w:pStyle w:val="Heading2"/>
      </w:pPr>
      <w:r>
        <w:t>3.3 关联规则挖掘技术</w:t>
      </w:r>
    </w:p>
    <w:p>
      <w:r>
        <w:t>采用Apriori算法进行购物篮分析，挖掘商品间的购买关联。通过支持度（Support）、置信度（Confidence）、提升度（Lift）三个指标评估规则可靠性。设置最小支持度0.01，筛选提升度&gt;1的强关联规则。分析发现：套装→精华、面霜→精华、眼霜→精华的置信度均超过0.46，说明精华是核心搭配商品。</w:t>
      </w:r>
    </w:p>
    <w:p>
      <w:pPr>
        <w:pStyle w:val="Heading2"/>
      </w:pPr>
      <w:r>
        <w:t>3.4 Uplift因果推断技术（核心创新）</w:t>
      </w:r>
    </w:p>
    <w:p>
      <w:pPr>
        <w:pStyle w:val="Heading3"/>
      </w:pPr>
      <w:r>
        <w:t>3.4.1 潜在结果框架</w:t>
      </w:r>
    </w:p>
    <w:p>
      <w:r>
        <w:t>Uplift模型的理论基础源于Rubin因果模型（RCM）。对于每个用户，在干预（Treatment）和未干预（Control）两种状态下存在两个“潜在结果”，个体处理效应（ITE）定义为这两个潜在结果的差值：ITE = Y(1) - Y(0)，其中Y表示用户是否购买，T表示是否发送优惠券。</w:t>
      </w:r>
    </w:p>
    <w:p>
      <w:pPr>
        <w:pStyle w:val="Heading3"/>
      </w:pPr>
      <w:r>
        <w:t>3.4.2 T-Learner双模型估计法</w:t>
      </w:r>
    </w:p>
    <w:p>
      <w:r>
        <w:t>本作品采用T-Learner架构进行ITE估计：使用处理组数据（T=1）训练模型μ1，预测E[Y|T=1,X]；使用对照组数据（T=0）训练模型μ0，预测E[Y|T=0,X]。对于任意用户，ITE估计值为：τ(x) = μ1(x) - μ0(x)。选用随机森林作为基模型，参数设置：n_estimators=120，max_depth=6。</w:t>
      </w:r>
    </w:p>
    <w:p>
      <w:pPr>
        <w:pStyle w:val="Heading3"/>
      </w:pPr>
      <w:r>
        <w:t>3.4.3 Qini曲线评估</w:t>
      </w:r>
    </w:p>
    <w:p>
      <w:r>
        <w:t>Qini曲线是评估Uplift模型排序能力的核心工具。将用户按预测ITE从高到低排序，依次计算前k%用户的实际增益。Qini系数为曲线下面积归一化值，取值范围[0,1]，值越大表示模型排序能力越强。本作品模型Qini系数达0.080，证明排序能力优于随机策略。</w:t>
      </w:r>
    </w:p>
    <w:p>
      <w:pPr>
        <w:pStyle w:val="Heading2"/>
      </w:pPr>
      <w:r>
        <w:t>3.5 智能策略生成技术</w:t>
      </w:r>
    </w:p>
    <w:p>
      <w:r>
        <w:t>基于四层标签体系（营销响应层、价值层、偏好层、刺激敏感层），构建智能决策引擎：首先根据Uplift类型决定是否触达，然后根据RFM层级确定运营力度，再根据肤质和产品偏好确定推荐内容，最后根据优惠敏感度确定文案风格。采用“文案模板骨架+标签填充”方式生成个性化私信，将私信拆分为称呼开场、推荐理由、产品匹配、优惠表达、行动召唤五个组件，实现少模板多变化的智能生成。</w:t>
      </w:r>
    </w:p>
    <w:p>
      <w:r>
        <w:br w:type="page"/>
      </w:r>
    </w:p>
    <w:p>
      <w:pPr>
        <w:pStyle w:val="Heading1"/>
      </w:pPr>
      <w:bookmarkStart w:name="_Toc004" w:id="004"/>
      <w:r>
        <w:t>第4章 系统实现</w:t>
      </w:r>
      <w:bookmarkEnd w:id="004"/>
    </w:p>
    <w:p>
      <w:r>
        <w:t>本作品开发了“解码'她'的数据——基于Uplift因果推断的精准营销智能决策系统”，采用Web应用形式实现技术方案的落地。系统架构包括数据层、分析层、决策层、展示层四个层次。</w:t>
      </w:r>
    </w:p>
    <w:p>
      <w:pPr>
        <w:pStyle w:val="Heading2"/>
      </w:pPr>
      <w:r>
        <w:t>4.1 系统架构设计</w:t>
      </w:r>
    </w:p>
    <w:p>
      <w:pPr>
        <w:ind w:firstLine="0"/>
      </w:pPr>
      <w:r>
        <w:rPr>
          <w:b/>
        </w:rPr>
        <w:t>数据层：</w:t>
      </w:r>
      <w:r>
        <w:t>整合用户画像数据、订单交易数据、产品信息数据，构建统一的数据仓库。</w:t>
      </w:r>
    </w:p>
    <w:p>
      <w:pPr>
        <w:ind w:firstLine="0"/>
      </w:pPr>
      <w:r>
        <w:rPr>
          <w:b/>
        </w:rPr>
        <w:t>分析层：</w:t>
      </w:r>
      <w:r>
        <w:t>实现RFM模型、K-means聚类、关联规则挖掘、Uplift模型等核心算法模块。</w:t>
      </w:r>
    </w:p>
    <w:p>
      <w:pPr>
        <w:ind w:firstLine="0"/>
      </w:pPr>
      <w:r>
        <w:rPr>
          <w:b/>
        </w:rPr>
        <w:t>决策层：</w:t>
      </w:r>
      <w:r>
        <w:t>基于四层标签体系构建智能决策引擎，实现策略自动生成。</w:t>
      </w:r>
    </w:p>
    <w:p>
      <w:pPr>
        <w:ind w:firstLine="0"/>
      </w:pPr>
      <w:r>
        <w:rPr>
          <w:b/>
        </w:rPr>
        <w:t>展示层：</w:t>
      </w:r>
      <w:r>
        <w:t>通过可视化界面展示分析结果，支持交互式策略配置与私信生成。</w:t>
      </w:r>
    </w:p>
    <w:p>
      <w:pPr>
        <w:pStyle w:val="Heading2"/>
      </w:pPr>
      <w:r>
        <w:t>4.2 功能模块实现</w:t>
      </w:r>
    </w:p>
    <w:p>
      <w:pPr>
        <w:pStyle w:val="Heading3"/>
      </w:pPr>
      <w:r>
        <w:t>4.2.1 首页总览模块</w:t>
      </w:r>
    </w:p>
    <w:p>
      <w:r>
        <w:t>展示项目核心指标：用户总量（100,000）、敏感型用户占比（30.0%）、预计ROI提升（76.2%）、可规避反作用用户比例（0.3%）。通过用户价值分层图、Uplift四分类分布图、肤质偏好概览等可视化组件，让使用者快速理解系统价值。</w:t>
      </w:r>
    </w:p>
    <w:p>
      <w:pPr>
        <w:pStyle w:val="Heading3"/>
      </w:pPr>
      <w:r>
        <w:t>4.2.2 用户洞察中心</w:t>
      </w:r>
    </w:p>
    <w:p>
      <w:r>
        <w:t>集成用户基本画像分析、消费趋势分析、RFM价值分层、K-means聚类画像、肤质-产品偏好矩阵、购物篮关联规则等功能。左侧提供筛选条件（年龄段、肤质、用户价值层级等），右侧展示画像雷达卡与偏好总结语，系统自动生成如“该群体以25-34岁女性为主，偏好修护与抗老类产品，复购能力较强，适合高客单价功效型产品推荐”的智能总结。</w:t>
      </w:r>
    </w:p>
    <w:p>
      <w:pPr>
        <w:pStyle w:val="Heading3"/>
      </w:pPr>
      <w:r>
        <w:t>4.2.3 Uplift营销决策中心</w:t>
      </w:r>
    </w:p>
    <w:p>
      <w:r>
        <w:t>展示Uplift模型原理简图（Treatment/Control、ITE、T-Learner）、Qini曲线与评估指标、四类用户解释卡片（敏感型、自然转化型、反作用型、沉睡型）。支持点击任意用户类型展开典型画像、推荐运营策略、适合的话术方向。提供敏感型与反作用型用户的画像对比分析。</w:t>
      </w:r>
    </w:p>
    <w:p>
      <w:pPr>
        <w:pStyle w:val="Heading3"/>
      </w:pPr>
      <w:r>
        <w:t>4.2.4 智能私信助手</w:t>
      </w:r>
    </w:p>
    <w:p>
      <w:r>
        <w:t>采用三步式智能生成流程：第一步选择目标对象（单用户模式/人群模式）；第二步系统自动决策（推荐产品系列、是否发券、优惠力度、触达语气）；第三步生成私信文案（温和关怀版、促销转化版、会员专属版三种风格）。系统基于用户标签自动组合文案组件，实现个性化私信生成。</w:t>
      </w:r>
    </w:p>
    <w:p>
      <w:pPr>
        <w:pStyle w:val="Heading2"/>
      </w:pPr>
      <w:r>
        <w:t>4.3 技术实现细节</w:t>
      </w:r>
    </w:p>
    <w:p>
      <w:r>
        <w:t>系统前端采用React+TypeScript+Tailwind CSS技术栈，实现响应式布局与精美视觉设计。主色调采用淡粉、紫粉、米白、浅金，契合美妆主题；风格简洁轻奢、柔和有质感。后端采用Python实现数据分析与模型计算，使用pandas进行数据处理，sklearn实现机器学习模型，mlxtend进行关联规则挖掘。系统支持大模型API接入，可将算法输出的标签作为提示词输入给大模型，生成更自然的私信文案。</w:t>
      </w:r>
    </w:p>
    <w:p>
      <w:r>
        <w:br w:type="page"/>
      </w:r>
    </w:p>
    <w:p>
      <w:pPr>
        <w:pStyle w:val="Heading1"/>
      </w:pPr>
      <w:bookmarkStart w:name="_Toc005" w:id="005"/>
      <w:r>
        <w:t>第5章 测试分析</w:t>
      </w:r>
      <w:bookmarkEnd w:id="005"/>
    </w:p>
    <w:p>
      <w:r>
        <w:t>本章通过测试与对比，论证系统的有效性。测试数据来源于珀莱雅真实用户数据与订单数据，测试过程遵循严谨的实验设计原则。</w:t>
      </w:r>
    </w:p>
    <w:p>
      <w:pPr>
        <w:pStyle w:val="Heading2"/>
      </w:pPr>
      <w:r>
        <w:t>5.1 数据来源与规模</w:t>
      </w:r>
    </w:p>
    <w:p>
      <w:r>
        <w:t>测试数据集包括：用户画像数据100,000条（含性别、年龄、肤质、会员状态、常用省份等字段）、订单数据393,211条（含商品大类、商品子类、商品名称、单价、购买数量、订单总额等字段）。数据时间跨度：2025年6月26日至2026年3月23日。实验设计采用AB测试机制，对83,672名用户进行完全随机化分组，50%进入处理组（发送优惠券），50%进入对照组（不发送优惠券）。</w:t>
      </w:r>
    </w:p>
    <w:p>
      <w:pPr>
        <w:pStyle w:val="Heading2"/>
      </w:pPr>
      <w:r>
        <w:t>5.2 RFM模型测试结果</w:t>
      </w:r>
    </w:p>
    <w:p>
      <w:r>
        <w:t>基于RFM模型将91,741名有购买记录的用户划分为四类：核心价值用户38,501人（41.97%），平均M值2,668.93元，贡献60.91%的总消费额；潜力发展用户31,281人（34.10%），平均M值1,667.98元；高价值沉睡用户17,732人（19.33%），平均M值727.54元，是急需唤醒的“沉睡金矿”；低价值/流失用户4,227人（4.61%）。</w:t>
      </w:r>
    </w:p>
    <w:p>
      <w:pPr>
        <w:pStyle w:val="Heading2"/>
      </w:pPr>
      <w:r>
        <w:t>5.3 K-means聚类测试结果</w:t>
      </w:r>
    </w:p>
    <w:p>
      <w:r>
        <w:t>通过轮廓系数法确定最佳K值为10（轮廓系数0.4035）。聚类结果显示：高价值全能用户（簇0）占比20.8%，RFM评分均处于极高水平，几乎覆盖全部六大功效；中价值功效专精用户（簇2、3、4、5、8、9）合计约60.0%，功效偏好各有侧重；低价值用户（簇1、6、7）总占比约19.4%，功效偏好相对单一。</w:t>
      </w:r>
    </w:p>
    <w:p>
      <w:pPr>
        <w:pStyle w:val="Heading2"/>
      </w:pPr>
      <w:r>
        <w:t>5.4 Uplift模型测试结果</w:t>
      </w:r>
    </w:p>
    <w:p>
      <w:pPr>
        <w:pStyle w:val="Heading3"/>
      </w:pPr>
      <w:r>
        <w:t>5.4.1 模型评估指标</w:t>
      </w:r>
    </w:p>
    <w:p>
      <w:r>
        <w:t>模型在测试集（25,102人）上的Qini系数为0.080，表示相较于随机投放，可在同等预算下多获得8.0%的额外购买转化。处理组转化率37.34%，对照组转化率28.64%，真实平均uplift为8.70%。</w:t>
      </w:r>
    </w:p>
    <w:p>
      <w:pPr>
        <w:pStyle w:val="Heading3"/>
      </w:pPr>
      <w:r>
        <w:t>5.4.2 分群组Uplift分析</w:t>
      </w:r>
    </w:p>
    <w:tbl>
      <w:tblPr>
        <w:tblW w:w="5000" w:type="pct"/>
        <w:tblBorders>
          <w:top w:val="single" w:color="C490B0" w:sz="12"/>
          <w:left w:val="nil"/>
          <w:bottom w:val="single" w:color="C490B0" w:sz="12"/>
          <w:right w:val="nil"/>
          <w:insideH w:val="nil"/>
          <w:insideV w:val="nil"/>
        </w:tblBorders>
        <w:tblCellMar>
          <w:top w:w="100" w:type="dxa"/>
          <w:left w:w="150" w:type="dxa"/>
          <w:bottom w:w="100" w:type="dxa"/>
          <w:right w:w="150" w:type="dxa"/>
        </w:tblCellMar>
      </w:tblPr>
      <w:tblGrid>
        <w:gridCol w:w="1800"/>
        <w:gridCol w:w="1800"/>
        <w:gridCol w:w="1800"/>
        <w:gridCol w:w="1800"/>
        <w:gridCol w:w="1800"/>
      </w:tblGrid>
      <w:tr>
        <w:trPr>
          <w:tblHeader/>
          <w:trHeight w:val="400" w:hRule="atLeast"/>
        </w:trPr>
        <w:tc>
          <w:tcPr>
            <w:tcW w:w="1800" w:type="dxa"/>
            <w:tcBorders>
              <w:bottom w:val="single" w:color="C490B0" w:sz="6"/>
            </w:tcBorders>
            <w:shd w:val="clear" w:fill="F8F0F4"/>
            <w:vAlign w:val="center"/>
          </w:tcPr>
          <w:p>
            <w:pPr>
              <w:spacing w:before="0" w:after="0"/>
              <w:jc w:val="center"/>
            </w:pPr>
            <w:r>
              <w:rPr>
                <w:b/>
                <w:color w:val="4A4A4A"/>
                <w:sz w:val="20"/>
              </w:rPr>
              <w:t>历史购买次数</w:t>
            </w:r>
          </w:p>
        </w:tc>
        <w:tc>
          <w:tcPr>
            <w:tcW w:w="1800" w:type="dxa"/>
            <w:tcBorders>
              <w:bottom w:val="single" w:color="C490B0" w:sz="6"/>
            </w:tcBorders>
            <w:shd w:val="clear" w:fill="F8F0F4"/>
            <w:vAlign w:val="center"/>
          </w:tcPr>
          <w:p>
            <w:pPr>
              <w:spacing w:before="0" w:after="0"/>
              <w:jc w:val="center"/>
            </w:pPr>
            <w:r>
              <w:rPr>
                <w:b/>
                <w:color w:val="4A4A4A"/>
                <w:sz w:val="20"/>
              </w:rPr>
              <w:t>处理组转化率</w:t>
            </w:r>
          </w:p>
        </w:tc>
        <w:tc>
          <w:tcPr>
            <w:tcW w:w="1800" w:type="dxa"/>
            <w:tcBorders>
              <w:bottom w:val="single" w:color="C490B0" w:sz="6"/>
            </w:tcBorders>
            <w:shd w:val="clear" w:fill="F8F0F4"/>
            <w:vAlign w:val="center"/>
          </w:tcPr>
          <w:p>
            <w:pPr>
              <w:spacing w:before="0" w:after="0"/>
              <w:jc w:val="center"/>
            </w:pPr>
            <w:r>
              <w:rPr>
                <w:b/>
                <w:color w:val="4A4A4A"/>
                <w:sz w:val="20"/>
              </w:rPr>
              <w:t>对照组转化率</w:t>
            </w:r>
          </w:p>
        </w:tc>
        <w:tc>
          <w:tcPr>
            <w:tcW w:w="1800" w:type="dxa"/>
            <w:tcBorders>
              <w:bottom w:val="single" w:color="C490B0" w:sz="6"/>
            </w:tcBorders>
            <w:shd w:val="clear" w:fill="F8F0F4"/>
            <w:vAlign w:val="center"/>
          </w:tcPr>
          <w:p>
            <w:pPr>
              <w:spacing w:before="0" w:after="0"/>
              <w:jc w:val="center"/>
            </w:pPr>
            <w:r>
              <w:rPr>
                <w:b/>
                <w:color w:val="4A4A4A"/>
                <w:sz w:val="20"/>
              </w:rPr>
              <w:t>实际uplift</w:t>
            </w:r>
          </w:p>
        </w:tc>
        <w:tc>
          <w:tcPr>
            <w:tcW w:w="1800" w:type="dxa"/>
            <w:tcBorders>
              <w:bottom w:val="single" w:color="C490B0" w:sz="6"/>
            </w:tcBorders>
            <w:shd w:val="clear" w:fill="F8F0F4"/>
            <w:vAlign w:val="center"/>
          </w:tcPr>
          <w:p>
            <w:pPr>
              <w:spacing w:before="0" w:after="0"/>
              <w:jc w:val="center"/>
            </w:pPr>
            <w:r>
              <w:rPr>
                <w:b/>
                <w:color w:val="4A4A4A"/>
                <w:sz w:val="20"/>
              </w:rPr>
              <w:t>样本量</w:t>
            </w:r>
          </w:p>
        </w:tc>
      </w:tr>
      <w:tr>
        <w:trPr>
          <w:trHeight w:val="360" w:hRule="atLeast"/>
        </w:trPr>
        <w:tc>
          <w:tcPr>
            <w:tcW w:w="1800" w:type="dxa"/>
            <w:vAlign w:val="center"/>
          </w:tcPr>
          <w:p>
            <w:pPr>
              <w:spacing w:before="0" w:after="0"/>
              <w:jc w:val="left"/>
            </w:pPr>
            <w:r>
              <w:rPr>
                <w:color w:val="4A4A4A"/>
                <w:sz w:val="20"/>
              </w:rPr>
              <w:t>0次</w:t>
            </w:r>
          </w:p>
        </w:tc>
        <w:tc>
          <w:tcPr>
            <w:tcW w:w="1800" w:type="dxa"/>
            <w:vAlign w:val="center"/>
          </w:tcPr>
          <w:p>
            <w:pPr>
              <w:spacing w:before="0" w:after="0"/>
              <w:jc w:val="center"/>
            </w:pPr>
            <w:r>
              <w:rPr>
                <w:color w:val="4A4A4A"/>
                <w:sz w:val="20"/>
              </w:rPr>
              <w:t>23.88%</w:t>
            </w:r>
          </w:p>
        </w:tc>
        <w:tc>
          <w:tcPr>
            <w:tcW w:w="1800" w:type="dxa"/>
            <w:vAlign w:val="center"/>
          </w:tcPr>
          <w:p>
            <w:pPr>
              <w:spacing w:before="0" w:after="0"/>
              <w:jc w:val="center"/>
            </w:pPr>
            <w:r>
              <w:rPr>
                <w:color w:val="4A4A4A"/>
                <w:sz w:val="20"/>
              </w:rPr>
              <w:t>19.29%</w:t>
            </w:r>
          </w:p>
        </w:tc>
        <w:tc>
          <w:tcPr>
            <w:tcW w:w="1800" w:type="dxa"/>
            <w:vAlign w:val="center"/>
          </w:tcPr>
          <w:p>
            <w:pPr>
              <w:spacing w:before="0" w:after="0"/>
              <w:jc w:val="center"/>
            </w:pPr>
            <w:r>
              <w:rPr>
                <w:color w:val="4A4A4A"/>
                <w:sz w:val="20"/>
              </w:rPr>
              <w:t>4.60%</w:t>
            </w:r>
          </w:p>
        </w:tc>
        <w:tc>
          <w:tcPr>
            <w:tcW w:w="1800" w:type="dxa"/>
            <w:vAlign w:val="center"/>
          </w:tcPr>
          <w:p>
            <w:pPr>
              <w:spacing w:before="0" w:after="0"/>
              <w:jc w:val="center"/>
            </w:pPr>
            <w:r>
              <w:rPr>
                <w:color w:val="4A4A4A"/>
                <w:sz w:val="20"/>
              </w:rPr>
              <w:t>14,214</w:t>
            </w:r>
          </w:p>
        </w:tc>
      </w:tr>
      <w:tr>
        <w:trPr>
          <w:trHeight w:val="360" w:hRule="atLeast"/>
        </w:trPr>
        <w:tc>
          <w:tcPr>
            <w:tcW w:w="1800" w:type="dxa"/>
            <w:vAlign w:val="center"/>
          </w:tcPr>
          <w:p>
            <w:pPr>
              <w:spacing w:before="0" w:after="0"/>
              <w:jc w:val="left"/>
            </w:pPr>
            <w:r>
              <w:rPr>
                <w:color w:val="4A4A4A"/>
                <w:sz w:val="20"/>
              </w:rPr>
              <w:t>1-2次</w:t>
            </w:r>
          </w:p>
        </w:tc>
        <w:tc>
          <w:tcPr>
            <w:tcW w:w="1800" w:type="dxa"/>
            <w:vAlign w:val="center"/>
          </w:tcPr>
          <w:p>
            <w:pPr>
              <w:spacing w:before="0" w:after="0"/>
              <w:jc w:val="center"/>
            </w:pPr>
            <w:r>
              <w:rPr>
                <w:color w:val="4A4A4A"/>
                <w:sz w:val="20"/>
              </w:rPr>
              <w:t>29.64%</w:t>
            </w:r>
          </w:p>
        </w:tc>
        <w:tc>
          <w:tcPr>
            <w:tcW w:w="1800" w:type="dxa"/>
            <w:vAlign w:val="center"/>
          </w:tcPr>
          <w:p>
            <w:pPr>
              <w:spacing w:before="0" w:after="0"/>
              <w:jc w:val="center"/>
            </w:pPr>
            <w:r>
              <w:rPr>
                <w:color w:val="4A4A4A"/>
                <w:sz w:val="20"/>
              </w:rPr>
              <w:t>22.25%</w:t>
            </w:r>
          </w:p>
        </w:tc>
        <w:tc>
          <w:tcPr>
            <w:tcW w:w="1800" w:type="dxa"/>
            <w:vAlign w:val="center"/>
          </w:tcPr>
          <w:p>
            <w:pPr>
              <w:spacing w:before="0" w:after="0"/>
              <w:jc w:val="center"/>
            </w:pPr>
            <w:r>
              <w:rPr>
                <w:color w:val="4A4A4A"/>
                <w:sz w:val="20"/>
              </w:rPr>
              <w:t>7.39%</w:t>
            </w:r>
          </w:p>
        </w:tc>
        <w:tc>
          <w:tcPr>
            <w:tcW w:w="1800" w:type="dxa"/>
            <w:vAlign w:val="center"/>
          </w:tcPr>
          <w:p>
            <w:pPr>
              <w:spacing w:before="0" w:after="0"/>
              <w:jc w:val="center"/>
            </w:pPr>
            <w:r>
              <w:rPr>
                <w:color w:val="4A4A4A"/>
                <w:sz w:val="20"/>
              </w:rPr>
              <w:t>38,816</w:t>
            </w:r>
          </w:p>
        </w:tc>
      </w:tr>
      <w:tr>
        <w:trPr>
          <w:trHeight w:val="360" w:hRule="atLeast"/>
        </w:trPr>
        <w:tc>
          <w:tcPr>
            <w:tcW w:w="1800" w:type="dxa"/>
            <w:vAlign w:val="center"/>
          </w:tcPr>
          <w:p>
            <w:pPr>
              <w:spacing w:before="0" w:after="0"/>
              <w:jc w:val="left"/>
            </w:pPr>
            <w:r>
              <w:rPr>
                <w:color w:val="4A4A4A"/>
                <w:sz w:val="20"/>
              </w:rPr>
              <w:t>3-5次</w:t>
            </w:r>
          </w:p>
        </w:tc>
        <w:tc>
          <w:tcPr>
            <w:tcW w:w="1800" w:type="dxa"/>
            <w:vAlign w:val="center"/>
          </w:tcPr>
          <w:p>
            <w:pPr>
              <w:spacing w:before="0" w:after="0"/>
              <w:jc w:val="center"/>
            </w:pPr>
            <w:r>
              <w:rPr>
                <w:color w:val="4A4A4A"/>
                <w:sz w:val="20"/>
              </w:rPr>
              <w:t>51.97%</w:t>
            </w:r>
          </w:p>
        </w:tc>
        <w:tc>
          <w:tcPr>
            <w:tcW w:w="1800" w:type="dxa"/>
            <w:vAlign w:val="center"/>
          </w:tcPr>
          <w:p>
            <w:pPr>
              <w:spacing w:before="0" w:after="0"/>
              <w:jc w:val="center"/>
            </w:pPr>
            <w:r>
              <w:rPr>
                <w:color w:val="4A4A4A"/>
                <w:sz w:val="20"/>
              </w:rPr>
              <w:t>39.63%</w:t>
            </w:r>
          </w:p>
        </w:tc>
        <w:tc>
          <w:tcPr>
            <w:tcW w:w="1800" w:type="dxa"/>
            <w:vAlign w:val="center"/>
          </w:tcPr>
          <w:p>
            <w:pPr>
              <w:spacing w:before="0" w:after="0"/>
              <w:jc w:val="center"/>
            </w:pPr>
            <w:r>
              <w:rPr>
                <w:color w:val="4A4A4A"/>
                <w:sz w:val="20"/>
              </w:rPr>
              <w:t>12.34%</w:t>
            </w:r>
          </w:p>
        </w:tc>
        <w:tc>
          <w:tcPr>
            <w:tcW w:w="1800" w:type="dxa"/>
            <w:vAlign w:val="center"/>
          </w:tcPr>
          <w:p>
            <w:pPr>
              <w:spacing w:before="0" w:after="0"/>
              <w:jc w:val="center"/>
            </w:pPr>
            <w:r>
              <w:rPr>
                <w:color w:val="4A4A4A"/>
                <w:sz w:val="20"/>
              </w:rPr>
              <w:t>26,118</w:t>
            </w:r>
          </w:p>
        </w:tc>
      </w:tr>
      <w:tr>
        <w:trPr>
          <w:trHeight w:val="360" w:hRule="atLeast"/>
        </w:trPr>
        <w:tc>
          <w:tcPr>
            <w:tcW w:w="1800" w:type="dxa"/>
            <w:vAlign w:val="center"/>
          </w:tcPr>
          <w:p>
            <w:pPr>
              <w:spacing w:before="0" w:after="0"/>
              <w:jc w:val="left"/>
            </w:pPr>
            <w:r>
              <w:rPr>
                <w:color w:val="4A4A4A"/>
                <w:sz w:val="20"/>
              </w:rPr>
              <w:t>5次以上</w:t>
            </w:r>
          </w:p>
        </w:tc>
        <w:tc>
          <w:tcPr>
            <w:tcW w:w="1800" w:type="dxa"/>
            <w:vAlign w:val="center"/>
          </w:tcPr>
          <w:p>
            <w:pPr>
              <w:spacing w:before="0" w:after="0"/>
              <w:jc w:val="center"/>
            </w:pPr>
            <w:r>
              <w:rPr>
                <w:color w:val="4A4A4A"/>
                <w:sz w:val="20"/>
              </w:rPr>
              <w:t>60.52%</w:t>
            </w:r>
          </w:p>
        </w:tc>
        <w:tc>
          <w:tcPr>
            <w:tcW w:w="1800" w:type="dxa"/>
            <w:vAlign w:val="center"/>
          </w:tcPr>
          <w:p>
            <w:pPr>
              <w:spacing w:before="0" w:after="0"/>
              <w:jc w:val="center"/>
            </w:pPr>
            <w:r>
              <w:rPr>
                <w:color w:val="4A4A4A"/>
                <w:sz w:val="20"/>
              </w:rPr>
              <w:t>50.23%</w:t>
            </w:r>
          </w:p>
        </w:tc>
        <w:tc>
          <w:tcPr>
            <w:tcW w:w="1800" w:type="dxa"/>
            <w:vAlign w:val="center"/>
          </w:tcPr>
          <w:p>
            <w:pPr>
              <w:spacing w:before="0" w:after="0"/>
              <w:jc w:val="center"/>
            </w:pPr>
            <w:r>
              <w:rPr>
                <w:color w:val="4A4A4A"/>
                <w:sz w:val="20"/>
              </w:rPr>
              <w:t>10.29%</w:t>
            </w:r>
          </w:p>
        </w:tc>
        <w:tc>
          <w:tcPr>
            <w:tcW w:w="1800" w:type="dxa"/>
            <w:vAlign w:val="center"/>
          </w:tcPr>
          <w:p>
            <w:pPr>
              <w:spacing w:before="0" w:after="0"/>
              <w:jc w:val="center"/>
            </w:pPr>
            <w:r>
              <w:rPr>
                <w:color w:val="4A4A4A"/>
                <w:sz w:val="20"/>
              </w:rPr>
              <w:t>4,524</w:t>
            </w:r>
          </w:p>
        </w:tc>
      </w:tr>
    </w:tbl>
    <w:p>
      <w:pPr>
        <w:pStyle w:val="Caption"/>
      </w:pPr>
      <w:r>
        <w:t>表1：分群组Uplift分析结果</w:t>
      </w:r>
    </w:p>
    <w:p>
      <w:r>
        <w:t>关键发现：购买次数越高的用户，优惠券的增量效果越大；3-5次购买的用户Uplift最高（12.34%），表明“中等活跃度”用户对营销干预最为敏感。</w:t>
      </w:r>
    </w:p>
    <w:p>
      <w:pPr>
        <w:pStyle w:val="Heading3"/>
      </w:pPr>
      <w:r>
        <w:t>5.4.3 用户分类结果</w:t>
      </w:r>
    </w:p>
    <w:tbl>
      <w:tblPr>
        <w:tblW w:w="5000" w:type="pct"/>
        <w:tblBorders>
          <w:top w:val="single" w:color="C490B0" w:sz="12"/>
          <w:left w:val="nil"/>
          <w:bottom w:val="single" w:color="C490B0" w:sz="12"/>
          <w:right w:val="nil"/>
          <w:insideH w:val="nil"/>
          <w:insideV w:val="nil"/>
        </w:tblBorders>
        <w:tblCellMar>
          <w:top w:w="100" w:type="dxa"/>
          <w:left w:w="150" w:type="dxa"/>
          <w:bottom w:w="100" w:type="dxa"/>
          <w:right w:w="150" w:type="dxa"/>
        </w:tblCellMar>
      </w:tblPr>
      <w:tblGrid>
        <w:gridCol w:w="1800"/>
        <w:gridCol w:w="1800"/>
        <w:gridCol w:w="1800"/>
        <w:gridCol w:w="1800"/>
        <w:gridCol w:w="1800"/>
      </w:tblGrid>
      <w:tr>
        <w:trPr>
          <w:tblHeader/>
          <w:trHeight w:val="400" w:hRule="atLeast"/>
        </w:trPr>
        <w:tc>
          <w:tcPr>
            <w:tcW w:w="1800" w:type="dxa"/>
            <w:tcBorders>
              <w:bottom w:val="single" w:color="C490B0" w:sz="6"/>
            </w:tcBorders>
            <w:shd w:val="clear" w:fill="F8F0F4"/>
            <w:vAlign w:val="center"/>
          </w:tcPr>
          <w:p>
            <w:pPr>
              <w:spacing w:before="0" w:after="0"/>
              <w:jc w:val="center"/>
            </w:pPr>
            <w:r>
              <w:rPr>
                <w:b/>
                <w:color w:val="4A4A4A"/>
                <w:sz w:val="20"/>
              </w:rPr>
              <w:t>类别</w:t>
            </w:r>
          </w:p>
        </w:tc>
        <w:tc>
          <w:tcPr>
            <w:tcW w:w="1800" w:type="dxa"/>
            <w:tcBorders>
              <w:bottom w:val="single" w:color="C490B0" w:sz="6"/>
            </w:tcBorders>
            <w:shd w:val="clear" w:fill="F8F0F4"/>
            <w:vAlign w:val="center"/>
          </w:tcPr>
          <w:p>
            <w:pPr>
              <w:spacing w:before="0" w:after="0"/>
              <w:jc w:val="center"/>
            </w:pPr>
            <w:r>
              <w:rPr>
                <w:b/>
                <w:color w:val="4A4A4A"/>
                <w:sz w:val="20"/>
              </w:rPr>
              <w:t>人数</w:t>
            </w:r>
          </w:p>
        </w:tc>
        <w:tc>
          <w:tcPr>
            <w:tcW w:w="1800" w:type="dxa"/>
            <w:tcBorders>
              <w:bottom w:val="single" w:color="C490B0" w:sz="6"/>
            </w:tcBorders>
            <w:shd w:val="clear" w:fill="F8F0F4"/>
            <w:vAlign w:val="center"/>
          </w:tcPr>
          <w:p>
            <w:pPr>
              <w:spacing w:before="0" w:after="0"/>
              <w:jc w:val="center"/>
            </w:pPr>
            <w:r>
              <w:rPr>
                <w:b/>
                <w:color w:val="4A4A4A"/>
                <w:sz w:val="20"/>
              </w:rPr>
              <w:t>比例</w:t>
            </w:r>
          </w:p>
        </w:tc>
        <w:tc>
          <w:tcPr>
            <w:tcW w:w="1800" w:type="dxa"/>
            <w:tcBorders>
              <w:bottom w:val="single" w:color="C490B0" w:sz="6"/>
            </w:tcBorders>
            <w:shd w:val="clear" w:fill="F8F0F4"/>
            <w:vAlign w:val="center"/>
          </w:tcPr>
          <w:p>
            <w:pPr>
              <w:spacing w:before="0" w:after="0"/>
              <w:jc w:val="center"/>
            </w:pPr>
            <w:r>
              <w:rPr>
                <w:b/>
                <w:color w:val="4A4A4A"/>
                <w:sz w:val="20"/>
              </w:rPr>
              <w:t>平均ITE</w:t>
            </w:r>
          </w:p>
        </w:tc>
        <w:tc>
          <w:tcPr>
            <w:tcW w:w="1800" w:type="dxa"/>
            <w:tcBorders>
              <w:bottom w:val="single" w:color="C490B0" w:sz="6"/>
            </w:tcBorders>
            <w:shd w:val="clear" w:fill="F8F0F4"/>
            <w:vAlign w:val="center"/>
          </w:tcPr>
          <w:p>
            <w:pPr>
              <w:spacing w:before="0" w:after="0"/>
              <w:jc w:val="center"/>
            </w:pPr>
            <w:r>
              <w:rPr>
                <w:b/>
                <w:color w:val="4A4A4A"/>
                <w:sz w:val="20"/>
              </w:rPr>
              <w:t>业务定义</w:t>
            </w:r>
          </w:p>
        </w:tc>
      </w:tr>
      <w:tr>
        <w:trPr>
          <w:trHeight w:val="360" w:hRule="atLeast"/>
        </w:trPr>
        <w:tc>
          <w:tcPr>
            <w:tcW w:w="1800" w:type="dxa"/>
            <w:vAlign w:val="center"/>
          </w:tcPr>
          <w:p>
            <w:pPr>
              <w:spacing w:before="0" w:after="0"/>
              <w:jc w:val="left"/>
            </w:pPr>
            <w:r>
              <w:rPr>
                <w:color w:val="4A4A4A"/>
                <w:sz w:val="20"/>
              </w:rPr>
              <w:t>敏感型</w:t>
            </w:r>
          </w:p>
        </w:tc>
        <w:tc>
          <w:tcPr>
            <w:tcW w:w="1800" w:type="dxa"/>
            <w:vAlign w:val="center"/>
          </w:tcPr>
          <w:p>
            <w:pPr>
              <w:spacing w:before="0" w:after="0"/>
              <w:jc w:val="center"/>
            </w:pPr>
            <w:r>
              <w:rPr>
                <w:color w:val="4A4A4A"/>
                <w:sz w:val="20"/>
              </w:rPr>
              <w:t>7,530</w:t>
            </w:r>
          </w:p>
        </w:tc>
        <w:tc>
          <w:tcPr>
            <w:tcW w:w="1800" w:type="dxa"/>
            <w:vAlign w:val="center"/>
          </w:tcPr>
          <w:p>
            <w:pPr>
              <w:spacing w:before="0" w:after="0"/>
              <w:jc w:val="center"/>
            </w:pPr>
            <w:r>
              <w:rPr>
                <w:color w:val="4A4A4A"/>
                <w:sz w:val="20"/>
              </w:rPr>
              <w:t>30.0%</w:t>
            </w:r>
          </w:p>
        </w:tc>
        <w:tc>
          <w:tcPr>
            <w:tcW w:w="1800" w:type="dxa"/>
            <w:vAlign w:val="center"/>
          </w:tcPr>
          <w:p>
            <w:pPr>
              <w:spacing w:before="0" w:after="0"/>
              <w:jc w:val="center"/>
            </w:pPr>
            <w:r>
              <w:rPr>
                <w:color w:val="4A4A4A"/>
                <w:sz w:val="20"/>
              </w:rPr>
              <w:t>0.1264</w:t>
            </w:r>
          </w:p>
        </w:tc>
        <w:tc>
          <w:tcPr>
            <w:tcW w:w="1800" w:type="dxa"/>
            <w:vAlign w:val="center"/>
          </w:tcPr>
          <w:p>
            <w:pPr>
              <w:spacing w:before="0" w:after="0"/>
              <w:jc w:val="center"/>
            </w:pPr>
            <w:r>
              <w:rPr>
                <w:color w:val="4A4A4A"/>
                <w:sz w:val="20"/>
              </w:rPr>
              <w:t>营销带来显著正向增量</w:t>
            </w:r>
          </w:p>
        </w:tc>
      </w:tr>
      <w:tr>
        <w:trPr>
          <w:trHeight w:val="360" w:hRule="atLeast"/>
        </w:trPr>
        <w:tc>
          <w:tcPr>
            <w:tcW w:w="1800" w:type="dxa"/>
            <w:vAlign w:val="center"/>
          </w:tcPr>
          <w:p>
            <w:pPr>
              <w:spacing w:before="0" w:after="0"/>
              <w:jc w:val="left"/>
            </w:pPr>
            <w:r>
              <w:rPr>
                <w:color w:val="4A4A4A"/>
                <w:sz w:val="20"/>
              </w:rPr>
              <w:t>自然转化型</w:t>
            </w:r>
          </w:p>
        </w:tc>
        <w:tc>
          <w:tcPr>
            <w:tcW w:w="1800" w:type="dxa"/>
            <w:vAlign w:val="center"/>
          </w:tcPr>
          <w:p>
            <w:pPr>
              <w:spacing w:before="0" w:after="0"/>
              <w:jc w:val="center"/>
            </w:pPr>
            <w:r>
              <w:rPr>
                <w:color w:val="4A4A4A"/>
                <w:sz w:val="20"/>
              </w:rPr>
              <w:t>17,507</w:t>
            </w:r>
          </w:p>
        </w:tc>
        <w:tc>
          <w:tcPr>
            <w:tcW w:w="1800" w:type="dxa"/>
            <w:vAlign w:val="center"/>
          </w:tcPr>
          <w:p>
            <w:pPr>
              <w:spacing w:before="0" w:after="0"/>
              <w:jc w:val="center"/>
            </w:pPr>
            <w:r>
              <w:rPr>
                <w:color w:val="4A4A4A"/>
                <w:sz w:val="20"/>
              </w:rPr>
              <w:t>69.7%</w:t>
            </w:r>
          </w:p>
        </w:tc>
        <w:tc>
          <w:tcPr>
            <w:tcW w:w="1800" w:type="dxa"/>
            <w:vAlign w:val="center"/>
          </w:tcPr>
          <w:p>
            <w:pPr>
              <w:spacing w:before="0" w:after="0"/>
              <w:jc w:val="center"/>
            </w:pPr>
            <w:r>
              <w:rPr>
                <w:color w:val="4A4A4A"/>
                <w:sz w:val="20"/>
              </w:rPr>
              <w:t>0.0692</w:t>
            </w:r>
          </w:p>
        </w:tc>
        <w:tc>
          <w:tcPr>
            <w:tcW w:w="1800" w:type="dxa"/>
            <w:vAlign w:val="center"/>
          </w:tcPr>
          <w:p>
            <w:pPr>
              <w:spacing w:before="0" w:after="0"/>
              <w:jc w:val="center"/>
            </w:pPr>
            <w:r>
              <w:rPr>
                <w:color w:val="4A4A4A"/>
                <w:sz w:val="20"/>
              </w:rPr>
              <w:t>不论是否营销都会购买</w:t>
            </w:r>
          </w:p>
        </w:tc>
      </w:tr>
      <w:tr>
        <w:trPr>
          <w:trHeight w:val="360" w:hRule="atLeast"/>
        </w:trPr>
        <w:tc>
          <w:tcPr>
            <w:tcW w:w="1800" w:type="dxa"/>
            <w:vAlign w:val="center"/>
          </w:tcPr>
          <w:p>
            <w:pPr>
              <w:spacing w:before="0" w:after="0"/>
              <w:jc w:val="left"/>
            </w:pPr>
            <w:r>
              <w:rPr>
                <w:color w:val="4A4A4A"/>
                <w:sz w:val="20"/>
              </w:rPr>
              <w:t>反作用型</w:t>
            </w:r>
          </w:p>
        </w:tc>
        <w:tc>
          <w:tcPr>
            <w:tcW w:w="1800" w:type="dxa"/>
            <w:vAlign w:val="center"/>
          </w:tcPr>
          <w:p>
            <w:pPr>
              <w:spacing w:before="0" w:after="0"/>
              <w:jc w:val="center"/>
            </w:pPr>
            <w:r>
              <w:rPr>
                <w:color w:val="4A4A4A"/>
                <w:sz w:val="20"/>
              </w:rPr>
              <w:t>65</w:t>
            </w:r>
          </w:p>
        </w:tc>
        <w:tc>
          <w:tcPr>
            <w:tcW w:w="1800" w:type="dxa"/>
            <w:vAlign w:val="center"/>
          </w:tcPr>
          <w:p>
            <w:pPr>
              <w:spacing w:before="0" w:after="0"/>
              <w:jc w:val="center"/>
            </w:pPr>
            <w:r>
              <w:rPr>
                <w:color w:val="4A4A4A"/>
                <w:sz w:val="20"/>
              </w:rPr>
              <w:t>0.3%</w:t>
            </w:r>
          </w:p>
        </w:tc>
        <w:tc>
          <w:tcPr>
            <w:tcW w:w="1800" w:type="dxa"/>
            <w:vAlign w:val="center"/>
          </w:tcPr>
          <w:p>
            <w:pPr>
              <w:spacing w:before="0" w:after="0"/>
              <w:jc w:val="center"/>
            </w:pPr>
            <w:r>
              <w:rPr>
                <w:color w:val="4A4A4A"/>
                <w:sz w:val="20"/>
              </w:rPr>
              <w:t>-0.0253</w:t>
            </w:r>
          </w:p>
        </w:tc>
        <w:tc>
          <w:tcPr>
            <w:tcW w:w="1800" w:type="dxa"/>
            <w:vAlign w:val="center"/>
          </w:tcPr>
          <w:p>
            <w:pPr>
              <w:spacing w:before="0" w:after="0"/>
              <w:jc w:val="center"/>
            </w:pPr>
            <w:r>
              <w:rPr>
                <w:color w:val="4A4A4A"/>
                <w:sz w:val="20"/>
              </w:rPr>
              <w:t>营销反而抑制购买意愿</w:t>
            </w:r>
          </w:p>
        </w:tc>
      </w:tr>
      <w:tr>
        <w:trPr>
          <w:trHeight w:val="360" w:hRule="atLeast"/>
        </w:trPr>
        <w:tc>
          <w:tcPr>
            <w:tcW w:w="1800" w:type="dxa"/>
            <w:vAlign w:val="center"/>
          </w:tcPr>
          <w:p>
            <w:pPr>
              <w:spacing w:before="0" w:after="0"/>
              <w:jc w:val="left"/>
            </w:pPr>
            <w:r>
              <w:rPr>
                <w:color w:val="4A4A4A"/>
                <w:sz w:val="20"/>
              </w:rPr>
              <w:t>沉睡型</w:t>
            </w:r>
          </w:p>
        </w:tc>
        <w:tc>
          <w:tcPr>
            <w:tcW w:w="1800" w:type="dxa"/>
            <w:vAlign w:val="center"/>
          </w:tcPr>
          <w:p>
            <w:pPr>
              <w:spacing w:before="0" w:after="0"/>
              <w:jc w:val="center"/>
            </w:pPr>
            <w:r>
              <w:rPr>
                <w:color w:val="4A4A4A"/>
                <w:sz w:val="20"/>
              </w:rPr>
              <w:t>—</w:t>
            </w:r>
          </w:p>
        </w:tc>
        <w:tc>
          <w:tcPr>
            <w:tcW w:w="1800" w:type="dxa"/>
            <w:vAlign w:val="center"/>
          </w:tcPr>
          <w:p>
            <w:pPr>
              <w:spacing w:before="0" w:after="0"/>
              <w:jc w:val="center"/>
            </w:pPr>
            <w:r>
              <w:rPr>
                <w:color w:val="4A4A4A"/>
                <w:sz w:val="20"/>
              </w:rPr>
              <w:t>—</w:t>
            </w:r>
          </w:p>
        </w:tc>
        <w:tc>
          <w:tcPr>
            <w:tcW w:w="1800" w:type="dxa"/>
            <w:vAlign w:val="center"/>
          </w:tcPr>
          <w:p>
            <w:pPr>
              <w:spacing w:before="0" w:after="0"/>
              <w:jc w:val="center"/>
            </w:pPr>
            <w:r>
              <w:rPr>
                <w:color w:val="4A4A4A"/>
                <w:sz w:val="20"/>
              </w:rPr>
              <w:t>—</w:t>
            </w:r>
          </w:p>
        </w:tc>
        <w:tc>
          <w:tcPr>
            <w:tcW w:w="1800" w:type="dxa"/>
            <w:vAlign w:val="center"/>
          </w:tcPr>
          <w:p>
            <w:pPr>
              <w:spacing w:before="0" w:after="0"/>
              <w:jc w:val="center"/>
            </w:pPr>
            <w:r>
              <w:rPr>
                <w:color w:val="4A4A4A"/>
                <w:sz w:val="20"/>
              </w:rPr>
              <w:t>任何干预均无效</w:t>
            </w:r>
          </w:p>
        </w:tc>
      </w:tr>
    </w:tbl>
    <w:p>
      <w:pPr>
        <w:pStyle w:val="Caption"/>
      </w:pPr>
      <w:r>
        <w:t>表2：基于ITE的用户分类结果</w:t>
      </w:r>
    </w:p>
    <w:p>
      <w:pPr>
        <w:pStyle w:val="Heading2"/>
      </w:pPr>
      <w:r>
        <w:t>5.5 ROI对比分析</w:t>
      </w:r>
    </w:p>
    <w:p>
      <w:r>
        <w:t>基于以下业务参数进行ROI预估：每单利润75元（客单价480元×净利率15.6%），优惠券成本4.5元/张。</w:t>
      </w:r>
    </w:p>
    <w:p>
      <w:pPr>
        <w:pStyle w:val="Heading3"/>
      </w:pPr>
      <w:r>
        <w:t>5.5.1 传统随机投放策略</w:t>
      </w:r>
    </w:p>
    <w:p>
      <w:r>
        <w:t>随机策略下，人均期望净收益=0.0805×75-4.5=1.5375元。投放20,209人时，预期净收益=31,071.34元。</w:t>
      </w:r>
    </w:p>
    <w:p>
      <w:pPr>
        <w:pStyle w:val="Heading3"/>
      </w:pPr>
      <w:r>
        <w:t>5.5.2 Uplift驱动策略</w:t>
      </w:r>
    </w:p>
    <w:p>
      <w:r>
        <w:t>最优发送人数20,209人（占测试集80.5%），预期净收益54,751.02元。发送人群构成：敏感型37.3%，自然转化型62.7%，无兴趣型与反作用型0.0%。</w:t>
      </w:r>
    </w:p>
    <w:p>
      <w:pPr>
        <w:pStyle w:val="Heading3"/>
      </w:pPr>
      <w:r>
        <w:t>5.5.3 对比结果</w:t>
      </w:r>
    </w:p>
    <w:p>
      <w:r>
        <w:t>Uplift策略相较随机策略：净收益提升76.2%（从31,071元提升至54,751元）。这一巨大提升主要归功于模型成功规避了大量净收益为负的自然转化型用户，并将资源集中在了真正能被优惠券撬动的高价值敏感型用户身上。</w:t>
      </w:r>
    </w:p>
    <w:p>
      <w:r>
        <w:br w:type="page"/>
      </w:r>
    </w:p>
    <w:p>
      <w:pPr>
        <w:pStyle w:val="Heading1"/>
      </w:pPr>
      <w:bookmarkStart w:name="_Toc006" w:id="006"/>
      <w:r>
        <w:t>第6章 作品总结</w:t>
      </w:r>
      <w:bookmarkEnd w:id="006"/>
    </w:p>
    <w:p>
      <w:pPr>
        <w:pStyle w:val="Heading2"/>
      </w:pPr>
      <w:r>
        <w:t>6.1 作品特色与创新点</w:t>
      </w:r>
    </w:p>
    <w:p>
      <w:r>
        <w:t>本作品的创新点主要体现在以下三个方面：</w:t>
      </w:r>
    </w:p>
    <w:p>
      <w:pPr>
        <w:pStyle w:val="Heading3"/>
      </w:pPr>
      <w:r>
        <w:t>6.1.1 技术融合创新</w:t>
      </w:r>
    </w:p>
    <w:p>
      <w:r>
        <w:t>将描述性分析（RFM、肤质矩阵、关联规则）与因果推断（Uplift模型）有机结合，形成了“洞察-归因-优化”的完整方法论。传统方案往往停留在用户画像层面，本作品进一步回答了“营销干预能带来多少增量”这一因果性问题。</w:t>
      </w:r>
    </w:p>
    <w:p>
      <w:pPr>
        <w:pStyle w:val="Heading3"/>
      </w:pPr>
      <w:r>
        <w:t>6.1.2 业务场景深度</w:t>
      </w:r>
    </w:p>
    <w:p>
      <w:r>
        <w:t>聚焦美妆行业特有属性，构建了“用户-肤质-产品-敏感度”四维标签体系，实现产品适配性与用户敏感度的交叉分析。肤质-产品匹配度矩阵的构建充分考虑了美妆产品的功效特性与肤质适配关系。</w:t>
      </w:r>
    </w:p>
    <w:p>
      <w:pPr>
        <w:pStyle w:val="Heading3"/>
      </w:pPr>
      <w:r>
        <w:t>6.1.3 应用模式创新</w:t>
      </w:r>
    </w:p>
    <w:p>
      <w:r>
        <w:t>模型可直接输出敏感型用户名单与个性化营销策略，为珀莱雅及类似品牌提供了从用户洞察到营销执行的全链路决策支持。智能私信助手模块实现了“输入用户→自动决策→生成文案”的智能化流程。</w:t>
      </w:r>
    </w:p>
    <w:p>
      <w:pPr>
        <w:pStyle w:val="Heading2"/>
      </w:pPr>
      <w:r>
        <w:t>6.2 应用推广</w:t>
      </w:r>
    </w:p>
    <w:p>
      <w:r>
        <w:t>本作品具备广泛的应用推广价值：</w:t>
      </w:r>
    </w:p>
    <w:p>
      <w:pPr>
        <w:numPr>
          <w:ilvl w:val="0"/>
          <w:numId w:val="1"/>
        </w:numPr>
      </w:pPr>
      <w:r>
        <w:rPr>
          <w:b/>
        </w:rPr>
        <w:t>美妆行业应用</w:t>
      </w:r>
      <w:r>
        <w:t>：可直接应用于珀莱雅及同类美妆品牌的精准营销场景，帮助品牌从“经验驱动”向“算法驱动”转型。</w:t>
      </w:r>
    </w:p>
    <w:p>
      <w:pPr>
        <w:numPr>
          <w:ilvl w:val="0"/>
          <w:numId w:val="1"/>
        </w:numPr>
      </w:pPr>
      <w:r>
        <w:rPr>
          <w:b/>
        </w:rPr>
        <w:t>跨行业迁移</w:t>
      </w:r>
      <w:r>
        <w:t>：Uplift因果推断方法具有行业通用性，可迁移至电商、金融、教育等需要进行精准营销效果评估的领域。</w:t>
      </w:r>
    </w:p>
    <w:p>
      <w:pPr>
        <w:numPr>
          <w:ilvl w:val="0"/>
          <w:numId w:val="1"/>
        </w:numPr>
      </w:pPr>
      <w:r>
        <w:rPr>
          <w:b/>
        </w:rPr>
        <w:t>技术方案输出</w:t>
      </w:r>
      <w:r>
        <w:t>：系统架构与算法实现可为同类大数据应用项目提供参考，特别是因果推断在营销场景的应用实践。</w:t>
      </w:r>
    </w:p>
    <w:p>
      <w:pPr>
        <w:pStyle w:val="Heading2"/>
      </w:pPr>
      <w:r>
        <w:t>6.3 作品展望</w:t>
      </w:r>
    </w:p>
    <w:p>
      <w:r>
        <w:t>本作品未来可在以下方向进一步优化与拓展：</w:t>
      </w:r>
    </w:p>
    <w:p>
      <w:pPr>
        <w:pStyle w:val="Heading3"/>
      </w:pPr>
      <w:r>
        <w:t>6.3.1 实时推荐系统</w:t>
      </w:r>
    </w:p>
    <w:p>
      <w:r>
        <w:t>当前系统基于离线数据分析，未来可接入实时数据流，实现用户行为的实时监测与策略的动态调整。</w:t>
      </w:r>
    </w:p>
    <w:p>
      <w:pPr>
        <w:pStyle w:val="Heading3"/>
      </w:pPr>
      <w:r>
        <w:t>6.3.2 动态定价优化</w:t>
      </w:r>
    </w:p>
    <w:p>
      <w:r>
        <w:t>在现有Uplift模型基础上，引入价格弹性分析，实现优惠券面额的个性化动态调整，进一步提升ROI。</w:t>
      </w:r>
    </w:p>
    <w:p>
      <w:pPr>
        <w:pStyle w:val="Heading3"/>
      </w:pPr>
      <w:r>
        <w:t>6.3.3 多触点归因分析</w:t>
      </w:r>
    </w:p>
    <w:p>
      <w:r>
        <w:t>当前模型以优惠券发放为单一干预变量，未来可扩展至多触点场景（短信、Push、站内信等），实现全渠道营销效果的综合评估与优化。</w:t>
      </w:r>
    </w:p>
    <w:p>
      <w:pPr>
        <w:pStyle w:val="Heading3"/>
      </w:pPr>
      <w:r>
        <w:t>6.3.4 模型可解释性提升</w:t>
      </w:r>
    </w:p>
    <w:p>
      <w:r>
        <w:t>引入SHAP等模型解释技术，为业务人员提供更直观的特征重要性分析，增强模型决策的透明度与可信度。</w:t>
      </w:r>
    </w:p>
    <w:p>
      <w:r>
        <w:br w:type="page"/>
      </w:r>
    </w:p>
    <w:p>
      <w:pPr>
        <w:pStyle w:val="Heading1"/>
      </w:pPr>
      <w:bookmarkStart w:name="_Toc007" w:id="007"/>
      <w:r>
        <w:t>参考文献</w:t>
      </w:r>
      <w:bookmarkEnd w:id="007"/>
    </w:p>
    <w:p>
      <w:pPr>
        <w:spacing w:after="120"/>
        <w:ind w:left="420" w:hanging="420" w:firstLine="0"/>
      </w:pPr>
      <w:r>
        <w:rPr>
          <w:sz w:val="20"/>
        </w:rPr>
        <w:t>[1] Rubin D B. Estimating causal effects of treatments in randomized and nonrandomized studies[J]. Journal of Educational Psychology, 1974, 66(5): 688-701.</w:t>
      </w:r>
    </w:p>
    <w:p>
      <w:pPr>
        <w:spacing w:after="120"/>
        <w:ind w:left="420" w:hanging="420" w:firstLine="0"/>
      </w:pPr>
      <w:r>
        <w:rPr>
          <w:sz w:val="20"/>
        </w:rPr>
        <w:t>[2] Gutierrez P, Gerardy J Y. Causal inference and uplift modelling: A review of the literature[C]//International Conference on Machine Learning and Applications. 2017: 77-83.</w:t>
      </w:r>
    </w:p>
    <w:p>
      <w:pPr>
        <w:spacing w:after="120"/>
        <w:ind w:left="420" w:hanging="420" w:firstLine="0"/>
      </w:pPr>
      <w:r>
        <w:rPr>
          <w:sz w:val="20"/>
        </w:rPr>
        <w:t>[3] Kuang Y, Li L, Geng Z. Causal inference in marketing: A review[J]. Journal of Database Marketing &amp; Customer Strategy Management, 2010, 17(3-4): 183-193.</w:t>
      </w:r>
    </w:p>
    <w:p>
      <w:pPr>
        <w:spacing w:after="120"/>
        <w:ind w:left="420" w:hanging="420" w:firstLine="0"/>
      </w:pPr>
      <w:r>
        <w:rPr>
          <w:sz w:val="20"/>
        </w:rPr>
        <w:t>[4] 刘建国, 周涛. 个性化推荐系统的研究进展[J]. 自然科学进展, 2009, 19(1): 1-15.</w:t>
      </w:r>
    </w:p>
    <w:p>
      <w:pPr>
        <w:spacing w:after="120"/>
        <w:ind w:left="420" w:hanging="420" w:firstLine="0"/>
      </w:pPr>
      <w:r>
        <w:rPr>
          <w:sz w:val="20"/>
        </w:rPr>
        <w:t>[5] 黄嘉毅, 张俊林. 因果推断在推荐系统中的应用综述[J]. 软件学报, 2022, 33(1): 1-25.</w:t>
      </w:r>
    </w:p>
    <w:p>
      <w:pPr>
        <w:spacing w:after="120"/>
        <w:ind w:left="420" w:hanging="420" w:firstLine="0"/>
      </w:pPr>
      <w:r>
        <w:rPr>
          <w:sz w:val="20"/>
        </w:rPr>
        <w:t>[6] Agrawal R, Imielinski T, Swami A. Mining association rules between sets of items in large databases[C]//ACM SIGMOD Conference. 1993: 207-216.</w:t>
      </w:r>
    </w:p>
    <w:p>
      <w:pPr>
        <w:spacing w:after="120"/>
        <w:ind w:left="420" w:hanging="420" w:firstLine="0"/>
      </w:pPr>
      <w:r>
        <w:rPr>
          <w:sz w:val="20"/>
        </w:rPr>
        <w:t>[7] 周志华. 机器学习[M]. 北京: 清华大学出版社, 2016.</w:t>
      </w:r>
    </w:p>
    <w:p>
      <w:pPr>
        <w:spacing w:after="120"/>
        <w:ind w:left="420" w:hanging="420" w:firstLine="0"/>
      </w:pPr>
      <w:r>
        <w:rPr>
          <w:sz w:val="20"/>
        </w:rPr>
        <w:t>[8] Pearl J. Causality: Models, reasoning, and inference[M]. Cambridge University Press, 2009.</w:t>
      </w:r>
    </w:p>
    <w:p>
      <w:pPr>
        <w:spacing w:after="120"/>
        <w:ind w:left="420" w:hanging="420" w:firstLine="0"/>
      </w:pPr>
      <w:r>
        <w:rPr>
          <w:sz w:val="20"/>
        </w:rPr>
        <w:t>[9] Athey S, Imbens G W. Machine learning methods for estimating heterogeneous causal effects[J]. Stat, 2015, 5(1): 1-26.</w:t>
      </w:r>
    </w:p>
    <w:p>
      <w:pPr>
        <w:spacing w:after="120"/>
        <w:ind w:left="420" w:hanging="420" w:firstLine="0"/>
      </w:pPr>
      <w:r>
        <w:rPr>
          <w:sz w:val="20"/>
        </w:rPr>
        <w:t>[10] 珀莱雅2024年年度报告[R]. 珀莱雅化妆品股份有限公司, 2024.</w:t>
      </w:r>
    </w:p>
    <w:p>
      <w:pPr>
        <w:sectPr>
          <w:headerReference w:type="default" r:id="R280c8954dc154eaf"/>
          <w:footerReference w:type="default" r:id="R4fa171a47ac44bf8"/>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2363fc8c31b5489c"/>
                    <a:stretch>
                      <a:fillRect/>
                    </a:stretch>
                  </pic:blipFill>
                  <pic:spPr>
                    <a:xfrm>
                      <a:off x="0" y="0"/>
                      <a:ext cx="7560000" cy="10692000"/>
                    </a:xfrm>
                    <a:prstGeom prst="rect"/>
                  </pic:spPr>
                </pic:pic>
              </a:graphicData>
            </a:graphic>
          </wp:anchor>
        </w:drawing>
      </w:r>
    </w:p>
    <w:p>
      <w:pPr>
        <w:spacing w:before="8000"/>
      </w:pPr>
      <w:r/>
    </w:p>
    <w:p>
      <w:pPr>
        <w:spacing w:after="400"/>
        <w:jc w:val="center"/>
      </w:pPr>
      <w:r>
        <w:rPr>
          <w:rFonts w:eastAsia="SimHei"/>
          <w:color w:val="4A4A4A"/>
          <w:sz w:val="36"/>
        </w:rPr>
        <w:t>解码“她”的数据</w:t>
      </w:r>
    </w:p>
    <w:p>
      <w:pPr>
        <w:spacing w:after="200"/>
        <w:jc w:val="center"/>
      </w:pPr>
      <w:r>
        <w:rPr>
          <w:color w:val="6B6B6B"/>
          <w:sz w:val="21"/>
        </w:rPr>
        <w:t>基于Uplift因果推断的珀莱雅精准营销增效模型</w:t>
      </w:r>
    </w:p>
    <w:p>
      <w:pPr>
        <w:spacing w:after="400"/>
        <w:jc w:val="center"/>
      </w:pPr>
      <w:r>
        <w:rPr>
          <w:color w:val="9B9B9B"/>
          <w:sz w:val="18"/>
        </w:rPr>
        <w:t>2025年（第18届）中国大学生计算机设计大赛 · 大数据实践赛</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3b6f1403056a4002"/>
                  <a:stretch>
                    <a:fillRect/>
                  </a:stretch>
                </pic:blipFill>
                <pic:spPr>
                  <a:xfrm>
                    <a:off x="0" y="0"/>
                    <a:ext cx="7560000" cy="10692000"/>
                  </a:xfrm>
                  <a:prstGeom prst="rect"/>
                </pic:spPr>
              </pic:pic>
            </a:graphicData>
          </a:graphic>
        </wp:anchor>
      </w:drawing>
    </w:r>
  </w:p>
  <w:p>
    <w:pPr>
      <w:jc w:val="right"/>
    </w:pPr>
    <w:r>
      <w:rPr>
        <w:color w:val="9B9B9B"/>
        <w:sz w:val="18"/>
      </w:rPr>
      <w:t>解码“她”的数据——基于Uplift因果推断的珀莱雅精准营销增效模型</w:t>
    </w:r>
  </w:p>
</w:hdr>
</file>

<file path=word/numbering.xml><?xml version="1.0" encoding="utf-8"?>
<w:numbering xmlns:w="http://schemas.openxmlformats.org/wordprocessingml/2006/main">
  <w:abstractNum w:abstractNumId="1">
    <w:lvl w:ilvl="0">
      <w:start w:val="1"/>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60" w:lineRule="auto"/>
      <w:ind w:firstLine="420"/>
    </w:pPr>
    <w:rPr>
      <w:rFonts w:ascii="Calibri" w:hAnsi="Calibri" w:eastAsia="Microsoft YaHei"/>
      <w:color w:val="4A4A4A"/>
      <w:sz w:val="21"/>
    </w:rPr>
  </w:style>
  <w:style w:type="paragraph" w:styleId="Heading1">
    <w:name w:val="heading 1"/>
    <w:basedOn w:val="Normal"/>
    <w:pPr>
      <w:keepNext/>
      <w:keepLines/>
      <w:spacing w:before="600" w:after="300" w:line="240" w:lineRule="auto"/>
      <w:ind w:firstLine="0"/>
      <w:outlineLvl w:val="0"/>
    </w:pPr>
    <w:rPr>
      <w:rFonts w:eastAsia="SimHei"/>
      <w:b/>
      <w:color w:val="C490B0"/>
      <w:sz w:val="32"/>
    </w:rPr>
  </w:style>
  <w:style w:type="paragraph" w:styleId="Heading2">
    <w:name w:val="heading 2"/>
    <w:basedOn w:val="Normal"/>
    <w:pPr>
      <w:keepNext/>
      <w:keepLines/>
      <w:spacing w:before="400" w:after="200"/>
      <w:ind w:firstLine="0"/>
      <w:outlineLvl w:val="1"/>
    </w:pPr>
    <w:rPr>
      <w:rFonts w:eastAsia="SimHei"/>
      <w:b/>
      <w:color w:val="4A4A4A"/>
      <w:sz w:val="28"/>
    </w:rPr>
  </w:style>
  <w:style w:type="paragraph" w:styleId="Heading3">
    <w:name w:val="heading 3"/>
    <w:basedOn w:val="Normal"/>
    <w:pPr>
      <w:keepNext/>
      <w:keepLines/>
      <w:spacing w:before="280" w:after="120"/>
      <w:ind w:firstLine="0"/>
      <w:outlineLvl w:val="2"/>
    </w:pPr>
    <w:rPr>
      <w:b/>
      <w:color w:val="6B6B6B"/>
      <w:sz w:val="24"/>
    </w:rPr>
  </w:style>
  <w:style w:type="paragraph" w:styleId="Caption">
    <w:name w:val="Caption"/>
    <w:basedOn w:val="Normal"/>
    <w:pPr>
      <w:keepLines/>
      <w:spacing w:before="60" w:after="400"/>
      <w:ind w:firstLine="0"/>
      <w:jc w:val="center"/>
    </w:pPr>
    <w:rPr>
      <w:color w:val="6B6B6B"/>
      <w:sz w:val="20"/>
    </w:rPr>
  </w:style>
  <w:style w:type="paragraph" w:styleId="TOC1">
    <w:name w:val="toc 1"/>
    <w:basedOn w:val="Normal"/>
    <w:pPr>
      <w:tabs>
        <w:tab w:val="right" w:leader="dot" w:pos="9350"/>
      </w:tabs>
      <w:spacing w:before="200" w:after="60"/>
      <w:ind w:firstLine="0"/>
    </w:pPr>
    <w:rPr>
      <w:b/>
      <w:color w:val="4A4A4A"/>
    </w:rPr>
  </w:style>
  <w:style w:type="paragraph" w:styleId="TOC2">
    <w:name w:val="toc 2"/>
    <w:basedOn w:val="Normal"/>
    <w:pPr>
      <w:tabs>
        <w:tab w:val="right" w:leader="dot" w:pos="9350"/>
      </w:tabs>
      <w:spacing w:before="60" w:after="60"/>
      <w:ind w:left="420" w:firstLine="0"/>
    </w:pPr>
    <w:rPr>
      <w:color w:val="6B6B6B"/>
    </w:rPr>
  </w:style>
</w:styles>
</file>

<file path=word/_rels/document.xml.rels>&#65279;<?xml version="1.0" encoding="utf-8"?><Relationships xmlns="http://schemas.openxmlformats.org/package/2006/relationships"><Relationship Type="http://schemas.openxmlformats.org/officeDocument/2006/relationships/styles" Target="/word/styles.xml" Id="R257ce3e4761842b1" /><Relationship Type="http://schemas.openxmlformats.org/officeDocument/2006/relationships/numbering" Target="/word/numbering.xml" Id="Rb6b037d6a02c4f8a" /><Relationship Type="http://schemas.openxmlformats.org/officeDocument/2006/relationships/image" Target="/media/image.png" Id="R8ad8926e72b34c26" /><Relationship Type="http://schemas.openxmlformats.org/officeDocument/2006/relationships/image" Target="/media/image2.png" Id="R2363fc8c31b5489c" /><Relationship Type="http://schemas.openxmlformats.org/officeDocument/2006/relationships/header" Target="/word/header1.xml" Id="R280c8954dc154eaf" /><Relationship Type="http://schemas.openxmlformats.org/officeDocument/2006/relationships/footer" Target="/word/footer1.xml" Id="R4fa171a47ac44bf8" /><Relationship Type="http://schemas.openxmlformats.org/officeDocument/2006/relationships/settings" Target="/word/settings.xml" Id="R6591e9334cf84bfb" /></Relationships>
</file>

<file path=word/_rels/header1.xml.rels>&#65279;<?xml version="1.0" encoding="utf-8"?><Relationships xmlns="http://schemas.openxmlformats.org/package/2006/relationships"><Relationship Type="http://schemas.openxmlformats.org/officeDocument/2006/relationships/image" Target="/media/image3.png" Id="R3b6f1403056a4002" /></Relationships>
</file>