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637C1A" w14:textId="132C638F" w:rsidR="008E3177" w:rsidRPr="003F568C" w:rsidRDefault="00857F97" w:rsidP="00DE1982">
      <w:pPr>
        <w:spacing w:after="120" w:line="276" w:lineRule="auto"/>
        <w:ind w:left="1080" w:hanging="1080"/>
        <w:rPr>
          <w:b/>
        </w:rPr>
      </w:pPr>
      <w:r w:rsidRPr="003F568C">
        <w:rPr>
          <w:b/>
        </w:rPr>
        <w:t>The 21</w:t>
      </w:r>
      <w:r w:rsidRPr="003F568C">
        <w:rPr>
          <w:b/>
          <w:vertAlign w:val="superscript"/>
        </w:rPr>
        <w:t>st</w:t>
      </w:r>
      <w:r w:rsidRPr="003F568C">
        <w:rPr>
          <w:b/>
        </w:rPr>
        <w:t xml:space="preserve"> Century Physics Classroom: How Research Informs Classroom Design.</w:t>
      </w:r>
    </w:p>
    <w:p w14:paraId="169CC2BF" w14:textId="1348F806" w:rsidR="00857F97" w:rsidRPr="003F568C" w:rsidRDefault="00857F97" w:rsidP="00DE1982">
      <w:pPr>
        <w:spacing w:after="120" w:line="276" w:lineRule="auto"/>
        <w:ind w:left="1080" w:hanging="1080"/>
        <w:rPr>
          <w:i/>
        </w:rPr>
      </w:pPr>
      <w:r w:rsidRPr="003F568C">
        <w:rPr>
          <w:i/>
        </w:rPr>
        <w:t>Chris Whittaker</w:t>
      </w:r>
      <w:r w:rsidR="00C5361D" w:rsidRPr="003F568C">
        <w:rPr>
          <w:i/>
        </w:rPr>
        <w:t xml:space="preserve"> and </w:t>
      </w:r>
      <w:r w:rsidR="0064400F" w:rsidRPr="0064400F">
        <w:rPr>
          <w:i/>
          <w:lang w:val="en-US"/>
        </w:rPr>
        <w:t>Elizabeth S. Charles</w:t>
      </w:r>
      <w:r w:rsidR="0064400F" w:rsidRPr="0064400F" w:rsidDel="0064400F">
        <w:rPr>
          <w:i/>
        </w:rPr>
        <w:t xml:space="preserve"> </w:t>
      </w:r>
      <w:r w:rsidR="00DA5DEA" w:rsidRPr="003F568C">
        <w:rPr>
          <w:i/>
        </w:rPr>
        <w:t>– Dawson College, Montreal, QC.</w:t>
      </w:r>
    </w:p>
    <w:p w14:paraId="16E7CFF0" w14:textId="77777777" w:rsidR="00857F97" w:rsidRPr="003F568C" w:rsidRDefault="00857F97" w:rsidP="00DE1982">
      <w:pPr>
        <w:spacing w:line="276" w:lineRule="auto"/>
      </w:pPr>
    </w:p>
    <w:p w14:paraId="5620E6A7" w14:textId="77777777" w:rsidR="00857F97" w:rsidRPr="003F568C" w:rsidRDefault="00857F97" w:rsidP="00DE1982">
      <w:pPr>
        <w:spacing w:line="276" w:lineRule="auto"/>
      </w:pPr>
    </w:p>
    <w:p w14:paraId="40D94F47" w14:textId="1F17AAB8" w:rsidR="00BE757F" w:rsidRPr="003F568C" w:rsidRDefault="00047463" w:rsidP="00DE1982">
      <w:pPr>
        <w:spacing w:line="276" w:lineRule="auto"/>
      </w:pPr>
      <w:r w:rsidRPr="003F568C">
        <w:t>Traditional</w:t>
      </w:r>
      <w:r w:rsidR="00120E13" w:rsidRPr="003F568C">
        <w:t xml:space="preserve"> </w:t>
      </w:r>
      <w:r w:rsidR="00F02479" w:rsidRPr="003F568C">
        <w:t xml:space="preserve">post-secondary </w:t>
      </w:r>
      <w:r w:rsidR="00120E13" w:rsidRPr="003F568C">
        <w:t>classroom</w:t>
      </w:r>
      <w:r w:rsidR="00DF3FAD" w:rsidRPr="003F568C">
        <w:t>s are</w:t>
      </w:r>
      <w:r w:rsidR="00120E13" w:rsidRPr="003F568C">
        <w:t xml:space="preserve"> design</w:t>
      </w:r>
      <w:r w:rsidR="00DF3FAD" w:rsidRPr="003F568C">
        <w:t>ed to</w:t>
      </w:r>
      <w:r w:rsidR="00120E13" w:rsidRPr="003F568C">
        <w:t xml:space="preserve"> </w:t>
      </w:r>
      <w:r w:rsidR="00EA65CF" w:rsidRPr="003F568C">
        <w:t>facilitat</w:t>
      </w:r>
      <w:r w:rsidR="00DF3FAD" w:rsidRPr="003F568C">
        <w:t>e</w:t>
      </w:r>
      <w:r w:rsidR="00EA65CF" w:rsidRPr="003F568C">
        <w:t xml:space="preserve"> </w:t>
      </w:r>
      <w:r w:rsidR="00120E13" w:rsidRPr="003F568C">
        <w:t>the transfer of information from expert to novice</w:t>
      </w:r>
      <w:r w:rsidR="00870CF1" w:rsidRPr="003F568C">
        <w:t xml:space="preserve">: </w:t>
      </w:r>
      <w:r w:rsidR="00802D88" w:rsidRPr="003F568C">
        <w:t>t</w:t>
      </w:r>
      <w:r w:rsidR="00870CF1" w:rsidRPr="003F568C">
        <w:t xml:space="preserve">here’s a place at the front </w:t>
      </w:r>
      <w:r w:rsidR="00FA4B91" w:rsidRPr="003F568C">
        <w:t>for</w:t>
      </w:r>
      <w:r w:rsidR="00870CF1" w:rsidRPr="003F568C">
        <w:t xml:space="preserve"> the </w:t>
      </w:r>
      <w:r w:rsidR="00BE757F" w:rsidRPr="003F568C">
        <w:t xml:space="preserve">teacher </w:t>
      </w:r>
      <w:r w:rsidR="00911B05" w:rsidRPr="003F568C">
        <w:t>to talk</w:t>
      </w:r>
      <w:r w:rsidR="00C73DDC" w:rsidRPr="003F568C">
        <w:t>,</w:t>
      </w:r>
      <w:r w:rsidR="00911B05" w:rsidRPr="003F568C">
        <w:t xml:space="preserve"> </w:t>
      </w:r>
      <w:r w:rsidR="00870CF1" w:rsidRPr="003F568C">
        <w:t xml:space="preserve">and </w:t>
      </w:r>
      <w:r w:rsidR="00911B05" w:rsidRPr="003F568C">
        <w:t xml:space="preserve">there are places for the students to listen – usually in </w:t>
      </w:r>
      <w:r w:rsidR="00870CF1" w:rsidRPr="003F568C">
        <w:t xml:space="preserve">front-facing rows </w:t>
      </w:r>
      <w:r w:rsidR="00911B05" w:rsidRPr="003F568C">
        <w:t>of desks</w:t>
      </w:r>
      <w:r w:rsidR="0010140A" w:rsidRPr="003F568C">
        <w:t>.</w:t>
      </w:r>
    </w:p>
    <w:p w14:paraId="37256B71" w14:textId="77777777" w:rsidR="00BE757F" w:rsidRPr="003F568C" w:rsidRDefault="00BE757F" w:rsidP="00DE1982">
      <w:pPr>
        <w:spacing w:line="276" w:lineRule="auto"/>
      </w:pPr>
    </w:p>
    <w:p w14:paraId="4A63BAAD" w14:textId="2C6B757F" w:rsidR="00047463" w:rsidRPr="003F568C" w:rsidRDefault="00047463" w:rsidP="00DE1982">
      <w:pPr>
        <w:spacing w:line="276" w:lineRule="auto"/>
      </w:pPr>
      <w:r w:rsidRPr="003F568C">
        <w:t>Modern classrooms</w:t>
      </w:r>
      <w:r w:rsidR="00296CA8" w:rsidRPr="003F568C">
        <w:t>,</w:t>
      </w:r>
      <w:r w:rsidRPr="003F568C">
        <w:t xml:space="preserve"> however, can – and should – do much more. </w:t>
      </w:r>
    </w:p>
    <w:p w14:paraId="0A960EB7" w14:textId="77777777" w:rsidR="00047463" w:rsidRPr="003F568C" w:rsidRDefault="00047463" w:rsidP="00DE1982">
      <w:pPr>
        <w:spacing w:line="276" w:lineRule="auto"/>
      </w:pPr>
    </w:p>
    <w:p w14:paraId="769786D3" w14:textId="76279C46" w:rsidR="00E225F2" w:rsidRPr="003F568C" w:rsidRDefault="005D0AD3" w:rsidP="00DE1982">
      <w:pPr>
        <w:spacing w:line="276" w:lineRule="auto"/>
      </w:pPr>
      <w:r w:rsidRPr="003F568C">
        <w:t xml:space="preserve">Instead of </w:t>
      </w:r>
      <w:r w:rsidR="000B5734" w:rsidRPr="003F568C">
        <w:t>being passive</w:t>
      </w:r>
      <w:r w:rsidR="00802D88" w:rsidRPr="003F568C">
        <w:t>,</w:t>
      </w:r>
      <w:r w:rsidR="000B5734" w:rsidRPr="003F568C">
        <w:t xml:space="preserve"> </w:t>
      </w:r>
      <w:r w:rsidR="00802D88" w:rsidRPr="003F568C">
        <w:t xml:space="preserve">teacher-centred spaces, </w:t>
      </w:r>
      <w:r w:rsidR="000B5734" w:rsidRPr="003F568C">
        <w:t xml:space="preserve">classrooms should be designed with </w:t>
      </w:r>
      <w:r w:rsidR="00101924" w:rsidRPr="003F568C">
        <w:t xml:space="preserve">student-centred, </w:t>
      </w:r>
      <w:r w:rsidR="000B5734" w:rsidRPr="003F568C">
        <w:t xml:space="preserve">active-learning strategies in mind. </w:t>
      </w:r>
      <w:proofErr w:type="gramStart"/>
      <w:r w:rsidR="00E225F2" w:rsidRPr="003F568C">
        <w:t xml:space="preserve">Decades of </w:t>
      </w:r>
      <w:r w:rsidR="00A25570" w:rsidRPr="003F568C">
        <w:t>physics e</w:t>
      </w:r>
      <w:r w:rsidR="00E225F2" w:rsidRPr="003F568C">
        <w:t xml:space="preserve">ducation </w:t>
      </w:r>
      <w:r w:rsidR="00A25570" w:rsidRPr="003F568C">
        <w:t>r</w:t>
      </w:r>
      <w:r w:rsidR="00E225F2" w:rsidRPr="003F568C">
        <w:t>esearch has</w:t>
      </w:r>
      <w:proofErr w:type="gramEnd"/>
      <w:r w:rsidR="00E225F2" w:rsidRPr="003F568C">
        <w:t xml:space="preserve"> shown that </w:t>
      </w:r>
      <w:r w:rsidR="00AC724E" w:rsidRPr="003F568C">
        <w:t>ac</w:t>
      </w:r>
      <w:r w:rsidR="00396400" w:rsidRPr="003F568C">
        <w:t>tive-</w:t>
      </w:r>
      <w:r w:rsidR="00101924" w:rsidRPr="003F568C">
        <w:t>learning instruction</w:t>
      </w:r>
      <w:r w:rsidR="00E225F2" w:rsidRPr="003F568C">
        <w:t xml:space="preserve"> can</w:t>
      </w:r>
      <w:r w:rsidR="000B5734" w:rsidRPr="003F568C">
        <w:t xml:space="preserve"> significantly improve </w:t>
      </w:r>
      <w:r w:rsidR="00AC724E" w:rsidRPr="003F568C">
        <w:t xml:space="preserve">meaningful </w:t>
      </w:r>
      <w:r w:rsidR="000B5734" w:rsidRPr="003F568C">
        <w:t>learning in comparison to traditional lecture</w:t>
      </w:r>
      <w:r w:rsidR="003D4EBC">
        <w:t>-</w:t>
      </w:r>
      <w:r w:rsidR="000B5734" w:rsidRPr="003F568C">
        <w:t>based instruction in college-level physics courses</w:t>
      </w:r>
      <w:r w:rsidR="00E225F2" w:rsidRPr="003F568C">
        <w:t xml:space="preserve"> (Meltzer and Thornton, 2012).</w:t>
      </w:r>
    </w:p>
    <w:p w14:paraId="7B44A7B2" w14:textId="5C151E7A" w:rsidR="00493A98" w:rsidRPr="003F568C" w:rsidRDefault="00493A98" w:rsidP="00DE1982">
      <w:pPr>
        <w:spacing w:line="276" w:lineRule="auto"/>
      </w:pPr>
    </w:p>
    <w:p w14:paraId="13E259AB" w14:textId="5E1299AB" w:rsidR="00493A98" w:rsidRPr="003F568C" w:rsidRDefault="00493A98" w:rsidP="00DE1982">
      <w:pPr>
        <w:spacing w:line="276" w:lineRule="auto"/>
      </w:pPr>
      <w:r w:rsidRPr="003F568C">
        <w:t>So</w:t>
      </w:r>
      <w:r w:rsidR="00296CA8" w:rsidRPr="003F568C">
        <w:t>,</w:t>
      </w:r>
      <w:r w:rsidR="00396400" w:rsidRPr="003F568C">
        <w:t xml:space="preserve"> what does</w:t>
      </w:r>
      <w:r w:rsidRPr="003F568C">
        <w:t xml:space="preserve"> a modern </w:t>
      </w:r>
      <w:r w:rsidR="00396400" w:rsidRPr="003F568C">
        <w:t xml:space="preserve">student-centred active-learning </w:t>
      </w:r>
      <w:r w:rsidRPr="003F568C">
        <w:t xml:space="preserve">classroom look like? How can </w:t>
      </w:r>
      <w:r w:rsidR="00101924" w:rsidRPr="003F568C">
        <w:t xml:space="preserve">classroom </w:t>
      </w:r>
      <w:r w:rsidR="00802D88" w:rsidRPr="003F568C">
        <w:t>design</w:t>
      </w:r>
      <w:r w:rsidRPr="003F568C">
        <w:t xml:space="preserve"> </w:t>
      </w:r>
      <w:r w:rsidR="006C7C46" w:rsidRPr="003F568C">
        <w:t xml:space="preserve">help </w:t>
      </w:r>
      <w:r w:rsidRPr="003F568C">
        <w:t xml:space="preserve">maximize </w:t>
      </w:r>
      <w:r w:rsidR="00396400" w:rsidRPr="003F568C">
        <w:t>active-</w:t>
      </w:r>
      <w:r w:rsidR="006C7C46" w:rsidRPr="003F568C">
        <w:t xml:space="preserve">learning </w:t>
      </w:r>
      <w:r w:rsidR="00396400" w:rsidRPr="003F568C">
        <w:t xml:space="preserve">strategies </w:t>
      </w:r>
      <w:r w:rsidR="006C7C46" w:rsidRPr="003F568C">
        <w:t xml:space="preserve">and </w:t>
      </w:r>
      <w:r w:rsidR="00101924" w:rsidRPr="003F568C">
        <w:t>how can classrooms</w:t>
      </w:r>
      <w:r w:rsidR="00802D88" w:rsidRPr="003F568C">
        <w:t xml:space="preserve"> </w:t>
      </w:r>
      <w:r w:rsidR="006C7C46" w:rsidRPr="003F568C">
        <w:t>mak</w:t>
      </w:r>
      <w:r w:rsidR="00101924" w:rsidRPr="003F568C">
        <w:t>e</w:t>
      </w:r>
      <w:r w:rsidR="006C7C46" w:rsidRPr="003F568C">
        <w:t xml:space="preserve"> the most of the affordances </w:t>
      </w:r>
      <w:r w:rsidR="00DE1982" w:rsidRPr="003F568C">
        <w:t xml:space="preserve">for learning </w:t>
      </w:r>
      <w:r w:rsidR="006C7C46" w:rsidRPr="003F568C">
        <w:t xml:space="preserve">that </w:t>
      </w:r>
      <w:r w:rsidR="00101924" w:rsidRPr="003F568C">
        <w:t xml:space="preserve">come with </w:t>
      </w:r>
      <w:r w:rsidR="00802D88" w:rsidRPr="003F568C">
        <w:t>mo</w:t>
      </w:r>
      <w:r w:rsidR="006C7C46" w:rsidRPr="003F568C">
        <w:t>dern technology?</w:t>
      </w:r>
    </w:p>
    <w:p w14:paraId="4DFD7D76" w14:textId="77777777" w:rsidR="006C7C46" w:rsidRPr="003F568C" w:rsidRDefault="006C7C46" w:rsidP="00DE1982">
      <w:pPr>
        <w:spacing w:line="276" w:lineRule="auto"/>
      </w:pPr>
    </w:p>
    <w:p w14:paraId="30EA0D48" w14:textId="77777777" w:rsidR="00D72445" w:rsidRPr="003F568C" w:rsidRDefault="00D72445" w:rsidP="00DE1982">
      <w:pPr>
        <w:spacing w:line="276" w:lineRule="auto"/>
      </w:pPr>
    </w:p>
    <w:p w14:paraId="2299F499" w14:textId="1EFC3BD4" w:rsidR="006C7C46" w:rsidRPr="003F568C" w:rsidRDefault="005F0904" w:rsidP="00DE1982">
      <w:pPr>
        <w:spacing w:line="276" w:lineRule="auto"/>
        <w:rPr>
          <w:b/>
        </w:rPr>
      </w:pPr>
      <w:r w:rsidRPr="003F568C">
        <w:rPr>
          <w:b/>
        </w:rPr>
        <w:t>How D</w:t>
      </w:r>
      <w:r w:rsidR="006C7C46" w:rsidRPr="003F568C">
        <w:rPr>
          <w:b/>
        </w:rPr>
        <w:t xml:space="preserve">o </w:t>
      </w:r>
      <w:r w:rsidRPr="003F568C">
        <w:rPr>
          <w:b/>
        </w:rPr>
        <w:t>We L</w:t>
      </w:r>
      <w:r w:rsidR="006C7C46" w:rsidRPr="003F568C">
        <w:rPr>
          <w:b/>
        </w:rPr>
        <w:t>earn?</w:t>
      </w:r>
      <w:r w:rsidR="00D42BA6" w:rsidRPr="003F568C">
        <w:rPr>
          <w:b/>
        </w:rPr>
        <w:t xml:space="preserve"> The constructivist model</w:t>
      </w:r>
    </w:p>
    <w:p w14:paraId="7ABDD00D" w14:textId="77777777" w:rsidR="00AC724E" w:rsidRPr="003F568C" w:rsidRDefault="00AC724E" w:rsidP="00DE1982">
      <w:pPr>
        <w:spacing w:line="276" w:lineRule="auto"/>
        <w:rPr>
          <w:b/>
        </w:rPr>
      </w:pPr>
    </w:p>
    <w:p w14:paraId="5EE36CE5" w14:textId="4C840648" w:rsidR="00AC724E" w:rsidRPr="003F568C" w:rsidRDefault="00AC724E" w:rsidP="00DE1982">
      <w:pPr>
        <w:spacing w:line="276" w:lineRule="auto"/>
      </w:pPr>
      <w:r w:rsidRPr="003F568C">
        <w:t>Learning is an active</w:t>
      </w:r>
      <w:r w:rsidR="006A0801" w:rsidRPr="003F568C">
        <w:t>, contextualized</w:t>
      </w:r>
      <w:r w:rsidRPr="003F568C">
        <w:t xml:space="preserve"> process that builds on prior knowledge</w:t>
      </w:r>
      <w:r w:rsidR="00F12353" w:rsidRPr="003F568C">
        <w:t xml:space="preserve"> (</w:t>
      </w:r>
      <w:r w:rsidRPr="003F568C">
        <w:t>Bransford, Brown &amp; Cocking, 1999)</w:t>
      </w:r>
      <w:r w:rsidR="00F12353" w:rsidRPr="003F568C">
        <w:t xml:space="preserve">. </w:t>
      </w:r>
      <w:r w:rsidR="006A0801" w:rsidRPr="003F568C">
        <w:t xml:space="preserve">It is done through social interactions and is mediated by tools (Vygotsky, 1978). Learning is </w:t>
      </w:r>
      <w:r w:rsidR="0096508D" w:rsidRPr="003F568C">
        <w:t xml:space="preserve">therefore </w:t>
      </w:r>
      <w:r w:rsidR="006A0801" w:rsidRPr="003F568C">
        <w:t xml:space="preserve">not simply a matter of transferring </w:t>
      </w:r>
      <w:r w:rsidR="00DF3FAD" w:rsidRPr="003F568C">
        <w:t>knowledge</w:t>
      </w:r>
      <w:r w:rsidR="006A0801" w:rsidRPr="003F568C">
        <w:t xml:space="preserve"> from expert to novice – it is a process of constructin</w:t>
      </w:r>
      <w:r w:rsidR="00D42BA6" w:rsidRPr="003F568C">
        <w:t xml:space="preserve">g ones own conceptual framework. </w:t>
      </w:r>
      <w:r w:rsidR="00F12353" w:rsidRPr="003F568C">
        <w:t>To learn physics</w:t>
      </w:r>
      <w:r w:rsidR="006A0801" w:rsidRPr="003F568C">
        <w:t xml:space="preserve"> is to </w:t>
      </w:r>
      <w:r w:rsidR="00F12353" w:rsidRPr="003F568C">
        <w:t xml:space="preserve">actively engage in using the conceptual tools and ways of thinking that define the field of physics. </w:t>
      </w:r>
      <w:r w:rsidR="00D42BA6" w:rsidRPr="003F568C">
        <w:t xml:space="preserve">Importantly, </w:t>
      </w:r>
      <w:r w:rsidR="003E1850" w:rsidRPr="003F568C">
        <w:t xml:space="preserve">effective </w:t>
      </w:r>
      <w:r w:rsidR="00D42BA6" w:rsidRPr="003F568C">
        <w:t xml:space="preserve">learning occurs when </w:t>
      </w:r>
      <w:r w:rsidR="003E1850" w:rsidRPr="003F568C">
        <w:t xml:space="preserve">students are properly situated in their zone of proximal development, that is, when they are faced with </w:t>
      </w:r>
      <w:r w:rsidR="0096508D" w:rsidRPr="003F568C">
        <w:t xml:space="preserve">challenging </w:t>
      </w:r>
      <w:r w:rsidR="003E1850" w:rsidRPr="003F568C">
        <w:t xml:space="preserve">learning activities that </w:t>
      </w:r>
      <w:r w:rsidR="0096508D" w:rsidRPr="003F568C">
        <w:t xml:space="preserve">they can master with the supports </w:t>
      </w:r>
      <w:r w:rsidR="00A105CC" w:rsidRPr="003F568C">
        <w:t>available to</w:t>
      </w:r>
      <w:r w:rsidR="0096508D" w:rsidRPr="003F568C">
        <w:t xml:space="preserve"> them</w:t>
      </w:r>
      <w:r w:rsidR="003E1850" w:rsidRPr="003F568C">
        <w:t xml:space="preserve"> (Vygotsky, 1978).</w:t>
      </w:r>
    </w:p>
    <w:p w14:paraId="6C1F87A4" w14:textId="77777777" w:rsidR="00D42BA6" w:rsidRPr="003F568C" w:rsidRDefault="00D42BA6" w:rsidP="00DE1982">
      <w:pPr>
        <w:spacing w:line="276" w:lineRule="auto"/>
      </w:pPr>
    </w:p>
    <w:p w14:paraId="1E0C56C7" w14:textId="77777777" w:rsidR="00D72445" w:rsidRPr="003F568C" w:rsidRDefault="00D72445" w:rsidP="00DE1982">
      <w:pPr>
        <w:spacing w:line="276" w:lineRule="auto"/>
      </w:pPr>
    </w:p>
    <w:p w14:paraId="7551FB5A" w14:textId="2A9F02F5" w:rsidR="00101924" w:rsidRPr="003F568C" w:rsidRDefault="0083452F" w:rsidP="00DE1982">
      <w:pPr>
        <w:spacing w:line="276" w:lineRule="auto"/>
        <w:rPr>
          <w:b/>
        </w:rPr>
      </w:pPr>
      <w:r w:rsidRPr="003F568C">
        <w:rPr>
          <w:b/>
        </w:rPr>
        <w:t>How Should We Teach?</w:t>
      </w:r>
    </w:p>
    <w:p w14:paraId="6524B483" w14:textId="77777777" w:rsidR="00101924" w:rsidRPr="003F568C" w:rsidRDefault="00101924" w:rsidP="00DE1982">
      <w:pPr>
        <w:spacing w:line="276" w:lineRule="auto"/>
      </w:pPr>
    </w:p>
    <w:p w14:paraId="462B8673" w14:textId="13B93C48" w:rsidR="004115D2" w:rsidRPr="003F568C" w:rsidRDefault="004F214A" w:rsidP="00DE1982">
      <w:pPr>
        <w:spacing w:line="276" w:lineRule="auto"/>
      </w:pPr>
      <w:r w:rsidRPr="003F568C">
        <w:t xml:space="preserve">Teaching should be about providing opportunities and support for meaningful learning. Based on </w:t>
      </w:r>
      <w:proofErr w:type="gramStart"/>
      <w:r w:rsidRPr="003F568C">
        <w:t xml:space="preserve">an </w:t>
      </w:r>
      <w:r w:rsidR="00090310" w:rsidRPr="003F568C">
        <w:t>awareness</w:t>
      </w:r>
      <w:proofErr w:type="gramEnd"/>
      <w:r w:rsidR="00090310" w:rsidRPr="003F568C">
        <w:t xml:space="preserve"> and </w:t>
      </w:r>
      <w:r w:rsidRPr="003F568C">
        <w:t xml:space="preserve">understanding of prior knowledge – and in the </w:t>
      </w:r>
      <w:r w:rsidRPr="003F568C">
        <w:lastRenderedPageBreak/>
        <w:t xml:space="preserve">case of physics, an understanding of deeply rooted misconceptions </w:t>
      </w:r>
      <w:r w:rsidR="00DE1982" w:rsidRPr="003F568C">
        <w:t>–</w:t>
      </w:r>
      <w:r w:rsidRPr="003F568C">
        <w:t xml:space="preserve"> class-time should be spent on </w:t>
      </w:r>
      <w:r w:rsidR="00105F7C" w:rsidRPr="003F568C">
        <w:t xml:space="preserve">opportunities that allow </w:t>
      </w:r>
      <w:r w:rsidRPr="003F568C">
        <w:t xml:space="preserve">the student </w:t>
      </w:r>
      <w:r w:rsidR="00105F7C" w:rsidRPr="003F568C">
        <w:t xml:space="preserve">to explore </w:t>
      </w:r>
      <w:r w:rsidRPr="003F568C">
        <w:t xml:space="preserve">his/her zone of proximal development. </w:t>
      </w:r>
      <w:r w:rsidR="00A105CC" w:rsidRPr="003F568C">
        <w:t xml:space="preserve">In </w:t>
      </w:r>
      <w:r w:rsidR="00CC2462" w:rsidRPr="003F568C">
        <w:t xml:space="preserve">order to do that, </w:t>
      </w:r>
      <w:r w:rsidR="00146E87" w:rsidRPr="003F568C">
        <w:t>the teacher needs to plan an effective series of learning activities. This plan is referred to as a</w:t>
      </w:r>
      <w:r w:rsidR="00015008" w:rsidRPr="003F568C">
        <w:t xml:space="preserve"> </w:t>
      </w:r>
      <w:r w:rsidR="00146E87" w:rsidRPr="003F568C">
        <w:t xml:space="preserve">“script” </w:t>
      </w:r>
      <w:r w:rsidR="004115D2" w:rsidRPr="003F568C">
        <w:t>(</w:t>
      </w:r>
      <w:r w:rsidR="006E7833" w:rsidRPr="003F568C">
        <w:t>Kollar, Fischer &amp; Slotta, 2007)</w:t>
      </w:r>
      <w:r w:rsidR="004115D2" w:rsidRPr="003F568C">
        <w:t xml:space="preserve"> </w:t>
      </w:r>
      <w:r w:rsidR="00146E87" w:rsidRPr="003F568C">
        <w:t xml:space="preserve">and </w:t>
      </w:r>
      <w:r w:rsidR="00A105CC" w:rsidRPr="003F568C">
        <w:t xml:space="preserve">it is important that </w:t>
      </w:r>
      <w:r w:rsidR="00090310" w:rsidRPr="003F568C">
        <w:t xml:space="preserve">both the </w:t>
      </w:r>
      <w:r w:rsidR="00CC2462" w:rsidRPr="003F568C">
        <w:t xml:space="preserve">classroom design and the technology in </w:t>
      </w:r>
      <w:r w:rsidR="00090310" w:rsidRPr="003F568C">
        <w:t>it</w:t>
      </w:r>
      <w:r w:rsidR="00CC2462" w:rsidRPr="003F568C">
        <w:t xml:space="preserve"> </w:t>
      </w:r>
      <w:r w:rsidR="00A105CC" w:rsidRPr="003F568C">
        <w:t xml:space="preserve">work together to maximize the teacher’s ability to </w:t>
      </w:r>
      <w:r w:rsidR="00146E87" w:rsidRPr="003F568C">
        <w:t xml:space="preserve">carry out scripts </w:t>
      </w:r>
      <w:r w:rsidR="00090310" w:rsidRPr="003F568C">
        <w:t>with</w:t>
      </w:r>
      <w:r w:rsidR="00146E87" w:rsidRPr="003F568C">
        <w:t xml:space="preserve"> a variety of activities – such as </w:t>
      </w:r>
      <w:r w:rsidR="0078480A" w:rsidRPr="003F568C">
        <w:t>mini-</w:t>
      </w:r>
      <w:r w:rsidR="00090310" w:rsidRPr="003F568C">
        <w:t>lectur</w:t>
      </w:r>
      <w:r w:rsidR="0078480A" w:rsidRPr="003F568C">
        <w:t>es</w:t>
      </w:r>
      <w:r w:rsidR="00146E87" w:rsidRPr="003F568C">
        <w:t>, peer-instruction, interactive simulations (like PhETs), group work, problem solving</w:t>
      </w:r>
      <w:r w:rsidR="004115D2" w:rsidRPr="003F568C">
        <w:t>, jigsaw activities</w:t>
      </w:r>
      <w:r w:rsidR="003D4EBC">
        <w:t>,</w:t>
      </w:r>
      <w:r w:rsidR="00146E87" w:rsidRPr="003F568C">
        <w:t xml:space="preserve"> etc. </w:t>
      </w:r>
    </w:p>
    <w:p w14:paraId="21304BBA" w14:textId="77777777" w:rsidR="004115D2" w:rsidRPr="003F568C" w:rsidRDefault="004115D2" w:rsidP="00DE1982">
      <w:pPr>
        <w:spacing w:line="276" w:lineRule="auto"/>
      </w:pPr>
    </w:p>
    <w:p w14:paraId="431F7090" w14:textId="57D14E64" w:rsidR="00A105CC" w:rsidRPr="003F568C" w:rsidRDefault="00146E87" w:rsidP="00DE1982">
      <w:pPr>
        <w:spacing w:line="276" w:lineRule="auto"/>
      </w:pPr>
      <w:r w:rsidRPr="003F568C">
        <w:t>It</w:t>
      </w:r>
      <w:r w:rsidR="00273725" w:rsidRPr="003F568C">
        <w:t xml:space="preserve"> </w:t>
      </w:r>
      <w:r w:rsidRPr="003F568C">
        <w:t>is equally important</w:t>
      </w:r>
      <w:r w:rsidR="00015008" w:rsidRPr="003F568C">
        <w:t xml:space="preserve"> </w:t>
      </w:r>
      <w:r w:rsidRPr="003F568C">
        <w:t xml:space="preserve">that the classroom provide the teacher with the tools to dynamically control how a script is carried out in the class </w:t>
      </w:r>
      <w:r w:rsidR="004115D2" w:rsidRPr="003F568C">
        <w:t>–</w:t>
      </w:r>
      <w:r w:rsidRPr="003F568C">
        <w:t xml:space="preserve"> </w:t>
      </w:r>
      <w:r w:rsidR="004115D2" w:rsidRPr="003F568C">
        <w:t>something that is called “orchestration” (</w:t>
      </w:r>
      <w:r w:rsidR="00BA0F49" w:rsidRPr="003F568C">
        <w:rPr>
          <w:rFonts w:cs="Times New Roman"/>
        </w:rPr>
        <w:t>Dillenbourg &amp; Jermann, 2013)</w:t>
      </w:r>
      <w:r w:rsidR="0078480A" w:rsidRPr="003F568C">
        <w:rPr>
          <w:rFonts w:cs="Times New Roman"/>
        </w:rPr>
        <w:t xml:space="preserve">. </w:t>
      </w:r>
      <w:r w:rsidR="004115D2" w:rsidRPr="003F568C">
        <w:t>In order to maximize learning opportunities in the orchestration of an effective active learning script a teacher needs to manage many things, including collaborative learning strategies, student and group s</w:t>
      </w:r>
      <w:r w:rsidR="003D4EBC">
        <w:t>elf-regulation, along with meta</w:t>
      </w:r>
      <w:r w:rsidR="004115D2" w:rsidRPr="003F568C">
        <w:t xml:space="preserve">cognitive processes. </w:t>
      </w:r>
      <w:r w:rsidR="00090310" w:rsidRPr="003F568C">
        <w:t>Both the classroom design and the technology in the classroom can help with orchestration.</w:t>
      </w:r>
    </w:p>
    <w:p w14:paraId="3935604F" w14:textId="77777777" w:rsidR="00A105CC" w:rsidRPr="003F568C" w:rsidRDefault="00A105CC" w:rsidP="00DE1982">
      <w:pPr>
        <w:spacing w:line="276" w:lineRule="auto"/>
      </w:pPr>
    </w:p>
    <w:p w14:paraId="0ACD15A2" w14:textId="225478F6" w:rsidR="00983C05" w:rsidRPr="003F568C" w:rsidRDefault="00090310" w:rsidP="00DE1982">
      <w:pPr>
        <w:spacing w:line="276" w:lineRule="auto"/>
      </w:pPr>
      <w:r w:rsidRPr="003F568C">
        <w:t>Lastly, a</w:t>
      </w:r>
      <w:r w:rsidR="00A105CC" w:rsidRPr="003F568C">
        <w:t xml:space="preserve">n important piece of the scripting and orchestration process </w:t>
      </w:r>
      <w:r w:rsidR="00983C05" w:rsidRPr="003F568C">
        <w:t xml:space="preserve">– and hence the design of a classroom and its capacities </w:t>
      </w:r>
      <w:r w:rsidR="00CC2462" w:rsidRPr="003F568C">
        <w:t>–</w:t>
      </w:r>
      <w:r w:rsidR="007605E1" w:rsidRPr="003F568C">
        <w:t xml:space="preserve"> involves the following </w:t>
      </w:r>
      <w:r w:rsidR="005E293F" w:rsidRPr="003F568C">
        <w:t xml:space="preserve">processes </w:t>
      </w:r>
      <w:r w:rsidR="007605E1" w:rsidRPr="003F568C">
        <w:t>(Collins et al., 1991)</w:t>
      </w:r>
      <w:r w:rsidR="005E293F" w:rsidRPr="003F568C">
        <w:t>:</w:t>
      </w:r>
    </w:p>
    <w:p w14:paraId="0DEE5110" w14:textId="09A845C0" w:rsidR="00983C05" w:rsidRPr="003F568C" w:rsidRDefault="00983C05" w:rsidP="00DE1982">
      <w:pPr>
        <w:pStyle w:val="ListParagraph"/>
        <w:numPr>
          <w:ilvl w:val="0"/>
          <w:numId w:val="3"/>
        </w:numPr>
        <w:spacing w:line="276" w:lineRule="auto"/>
      </w:pPr>
      <w:proofErr w:type="gramStart"/>
      <w:r w:rsidRPr="003F568C">
        <w:rPr>
          <w:i/>
        </w:rPr>
        <w:t>modeling</w:t>
      </w:r>
      <w:proofErr w:type="gramEnd"/>
      <w:r w:rsidRPr="003F568C">
        <w:t xml:space="preserve"> </w:t>
      </w:r>
      <w:r w:rsidR="007605E1" w:rsidRPr="003F568C">
        <w:t>–</w:t>
      </w:r>
      <w:r w:rsidRPr="003F568C">
        <w:t xml:space="preserve"> </w:t>
      </w:r>
      <w:r w:rsidR="007605E1" w:rsidRPr="003F568C">
        <w:t xml:space="preserve">teachers should engage in the </w:t>
      </w:r>
      <w:r w:rsidRPr="003F568C">
        <w:t xml:space="preserve">explicit </w:t>
      </w:r>
      <w:r w:rsidR="005E293F" w:rsidRPr="003F568C">
        <w:t xml:space="preserve">articulation </w:t>
      </w:r>
      <w:r w:rsidRPr="003F568C">
        <w:t xml:space="preserve">of </w:t>
      </w:r>
      <w:r w:rsidR="005E293F" w:rsidRPr="003F568C">
        <w:t xml:space="preserve">expert </w:t>
      </w:r>
      <w:r w:rsidRPr="003F568C">
        <w:t xml:space="preserve">thinking and </w:t>
      </w:r>
      <w:r w:rsidR="007605E1" w:rsidRPr="003F568C">
        <w:t xml:space="preserve">the </w:t>
      </w:r>
      <w:r w:rsidR="005E293F" w:rsidRPr="003F568C">
        <w:t xml:space="preserve">performance of expert </w:t>
      </w:r>
      <w:r w:rsidRPr="003F568C">
        <w:t xml:space="preserve">practices within the domain; </w:t>
      </w:r>
    </w:p>
    <w:p w14:paraId="6DF6B625" w14:textId="5E824FF4" w:rsidR="00983C05" w:rsidRPr="003F568C" w:rsidRDefault="00983C05" w:rsidP="00DE1982">
      <w:pPr>
        <w:pStyle w:val="ListParagraph"/>
        <w:numPr>
          <w:ilvl w:val="0"/>
          <w:numId w:val="3"/>
        </w:numPr>
        <w:spacing w:line="276" w:lineRule="auto"/>
      </w:pPr>
      <w:proofErr w:type="gramStart"/>
      <w:r w:rsidRPr="003F568C">
        <w:rPr>
          <w:i/>
        </w:rPr>
        <w:t>coaching</w:t>
      </w:r>
      <w:proofErr w:type="gramEnd"/>
      <w:r w:rsidRPr="003F568C">
        <w:rPr>
          <w:i/>
        </w:rPr>
        <w:t xml:space="preserve"> </w:t>
      </w:r>
      <w:r w:rsidRPr="003F568C">
        <w:t xml:space="preserve">– teachers </w:t>
      </w:r>
      <w:r w:rsidR="007605E1" w:rsidRPr="003F568C">
        <w:t xml:space="preserve">(and knowledgeable peers) should </w:t>
      </w:r>
      <w:r w:rsidRPr="003F568C">
        <w:t>observ</w:t>
      </w:r>
      <w:r w:rsidR="007605E1" w:rsidRPr="003F568C">
        <w:t>e</w:t>
      </w:r>
      <w:r w:rsidRPr="003F568C">
        <w:t xml:space="preserve"> and help students </w:t>
      </w:r>
      <w:r w:rsidR="006418EB">
        <w:t>as they work</w:t>
      </w:r>
      <w:r w:rsidR="005E293F" w:rsidRPr="003F568C">
        <w:t xml:space="preserve"> </w:t>
      </w:r>
      <w:r w:rsidR="007605E1" w:rsidRPr="003F568C">
        <w:t>by giving guidance and support</w:t>
      </w:r>
      <w:r w:rsidRPr="003F568C">
        <w:t>;</w:t>
      </w:r>
    </w:p>
    <w:p w14:paraId="5AE73962" w14:textId="040368C5" w:rsidR="00983C05" w:rsidRPr="003F568C" w:rsidRDefault="00983C05" w:rsidP="00DE1982">
      <w:pPr>
        <w:pStyle w:val="ListParagraph"/>
        <w:numPr>
          <w:ilvl w:val="0"/>
          <w:numId w:val="3"/>
        </w:numPr>
        <w:spacing w:line="276" w:lineRule="auto"/>
      </w:pPr>
      <w:proofErr w:type="gramStart"/>
      <w:r w:rsidRPr="003F568C">
        <w:rPr>
          <w:i/>
        </w:rPr>
        <w:t>scaffolding</w:t>
      </w:r>
      <w:proofErr w:type="gramEnd"/>
      <w:r w:rsidRPr="003F568C">
        <w:t xml:space="preserve"> – </w:t>
      </w:r>
      <w:r w:rsidR="00477703" w:rsidRPr="003F568C">
        <w:t>the tasks and tools provided to students should support their construction of knowledge in a way that allows for the removal of those supports once their understanding has solidified</w:t>
      </w:r>
      <w:r w:rsidRPr="003F568C">
        <w:t>;</w:t>
      </w:r>
    </w:p>
    <w:p w14:paraId="78C0DDFC" w14:textId="447342FC" w:rsidR="00983C05" w:rsidRPr="003F568C" w:rsidRDefault="00983C05" w:rsidP="00DE1982">
      <w:pPr>
        <w:pStyle w:val="ListParagraph"/>
        <w:numPr>
          <w:ilvl w:val="0"/>
          <w:numId w:val="3"/>
        </w:numPr>
        <w:spacing w:line="276" w:lineRule="auto"/>
      </w:pPr>
      <w:proofErr w:type="gramStart"/>
      <w:r w:rsidRPr="003F568C">
        <w:rPr>
          <w:i/>
        </w:rPr>
        <w:t>articulation</w:t>
      </w:r>
      <w:proofErr w:type="gramEnd"/>
      <w:r w:rsidRPr="003F568C">
        <w:t xml:space="preserve"> –</w:t>
      </w:r>
      <w:r w:rsidR="00477703" w:rsidRPr="003F568C">
        <w:t xml:space="preserve"> </w:t>
      </w:r>
      <w:r w:rsidR="00C12B41" w:rsidRPr="003F568C">
        <w:t xml:space="preserve">students </w:t>
      </w:r>
      <w:r w:rsidR="00477703" w:rsidRPr="003F568C">
        <w:t xml:space="preserve">should have ample opportunities </w:t>
      </w:r>
      <w:r w:rsidR="00C12B41" w:rsidRPr="003F568C">
        <w:t>to articulate their knowledge and reasoning while practicing problem solving strategies</w:t>
      </w:r>
      <w:r w:rsidRPr="003F568C">
        <w:t xml:space="preserve">; </w:t>
      </w:r>
    </w:p>
    <w:p w14:paraId="6F38D03F" w14:textId="48422CFD" w:rsidR="00983C05" w:rsidRPr="003F568C" w:rsidRDefault="00983C05" w:rsidP="00DE1982">
      <w:pPr>
        <w:pStyle w:val="ListParagraph"/>
        <w:numPr>
          <w:ilvl w:val="0"/>
          <w:numId w:val="3"/>
        </w:numPr>
        <w:spacing w:line="276" w:lineRule="auto"/>
      </w:pPr>
      <w:proofErr w:type="gramStart"/>
      <w:r w:rsidRPr="003F568C">
        <w:rPr>
          <w:i/>
        </w:rPr>
        <w:t>reflection</w:t>
      </w:r>
      <w:proofErr w:type="gramEnd"/>
      <w:r w:rsidRPr="003F568C">
        <w:t xml:space="preserve"> – </w:t>
      </w:r>
      <w:r w:rsidR="00477703" w:rsidRPr="003F568C">
        <w:t xml:space="preserve">students should be engaged in </w:t>
      </w:r>
      <w:r w:rsidRPr="003F568C">
        <w:t>metacognitive activities at the individual, group, and classroom levels;</w:t>
      </w:r>
    </w:p>
    <w:p w14:paraId="5A69DF0B" w14:textId="77777777" w:rsidR="00D72445" w:rsidRPr="003F568C" w:rsidRDefault="00D72445" w:rsidP="00DE1982">
      <w:pPr>
        <w:spacing w:line="276" w:lineRule="auto"/>
      </w:pPr>
    </w:p>
    <w:p w14:paraId="3F9B6683" w14:textId="77F22F99" w:rsidR="006C7C46" w:rsidRPr="003F568C" w:rsidRDefault="00FA4B91" w:rsidP="00DE1982">
      <w:pPr>
        <w:spacing w:line="276" w:lineRule="auto"/>
        <w:rPr>
          <w:b/>
        </w:rPr>
      </w:pPr>
      <w:r w:rsidRPr="003F568C">
        <w:rPr>
          <w:b/>
        </w:rPr>
        <w:t>From Absorbing to Constructing</w:t>
      </w:r>
      <w:r w:rsidR="005F0904" w:rsidRPr="003F568C">
        <w:rPr>
          <w:b/>
        </w:rPr>
        <w:t xml:space="preserve">: </w:t>
      </w:r>
      <w:r w:rsidR="006C7C46" w:rsidRPr="003F568C">
        <w:rPr>
          <w:b/>
        </w:rPr>
        <w:t>A new design paradigm.</w:t>
      </w:r>
    </w:p>
    <w:p w14:paraId="2A795BCA" w14:textId="77777777" w:rsidR="00802D88" w:rsidRPr="003F568C" w:rsidRDefault="00802D88" w:rsidP="00DE1982">
      <w:pPr>
        <w:spacing w:line="276" w:lineRule="auto"/>
      </w:pPr>
    </w:p>
    <w:p w14:paraId="4E068D52" w14:textId="5D5EDBB6" w:rsidR="006A0782" w:rsidRPr="003F568C" w:rsidRDefault="0083452F" w:rsidP="00DE1982">
      <w:pPr>
        <w:spacing w:line="276" w:lineRule="auto"/>
      </w:pPr>
      <w:r w:rsidRPr="003F568C">
        <w:t xml:space="preserve">If students construct knowledge through interactions </w:t>
      </w:r>
      <w:r w:rsidR="000121D9" w:rsidRPr="003F568C">
        <w:t>with each other and the subject material</w:t>
      </w:r>
      <w:r w:rsidRPr="003F568C">
        <w:t xml:space="preserve">, and if </w:t>
      </w:r>
      <w:r w:rsidR="006418EB">
        <w:t xml:space="preserve">both </w:t>
      </w:r>
      <w:r w:rsidRPr="003F568C">
        <w:t xml:space="preserve">the </w:t>
      </w:r>
      <w:r w:rsidR="002366E7" w:rsidRPr="003F568C">
        <w:t>teacher</w:t>
      </w:r>
      <w:r w:rsidRPr="003F568C">
        <w:t xml:space="preserve"> </w:t>
      </w:r>
      <w:r w:rsidR="006418EB">
        <w:t xml:space="preserve">and student </w:t>
      </w:r>
      <w:r w:rsidRPr="003F568C">
        <w:t>role</w:t>
      </w:r>
      <w:r w:rsidR="006418EB">
        <w:t>s</w:t>
      </w:r>
      <w:r w:rsidRPr="003F568C">
        <w:t xml:space="preserve"> in the classroom expand, what elements are important in a new paradigm for classroom design</w:t>
      </w:r>
      <w:r w:rsidR="000121D9" w:rsidRPr="003F568C">
        <w:t>?</w:t>
      </w:r>
      <w:r w:rsidRPr="003F568C">
        <w:t xml:space="preserve"> </w:t>
      </w:r>
    </w:p>
    <w:p w14:paraId="1C6518B0" w14:textId="2E1B04C6" w:rsidR="00000010" w:rsidRPr="003F568C" w:rsidRDefault="00000010" w:rsidP="00DE1982">
      <w:pPr>
        <w:pStyle w:val="ListParagraph"/>
        <w:numPr>
          <w:ilvl w:val="0"/>
          <w:numId w:val="4"/>
        </w:numPr>
        <w:spacing w:line="276" w:lineRule="auto"/>
      </w:pPr>
      <w:r w:rsidRPr="003F568C">
        <w:t>The central focus of the classroom should not be</w:t>
      </w:r>
      <w:r w:rsidR="003D2063" w:rsidRPr="003F568C">
        <w:t xml:space="preserve"> on</w:t>
      </w:r>
      <w:r w:rsidRPr="003F568C">
        <w:t xml:space="preserve"> the teacher but </w:t>
      </w:r>
      <w:r w:rsidR="003D2063" w:rsidRPr="003F568C">
        <w:t xml:space="preserve">on </w:t>
      </w:r>
      <w:r w:rsidRPr="003F568C">
        <w:t xml:space="preserve">the </w:t>
      </w:r>
      <w:r w:rsidR="003D2063" w:rsidRPr="003F568C">
        <w:t xml:space="preserve">social </w:t>
      </w:r>
      <w:r w:rsidRPr="003F568C">
        <w:t>interactions through which knowledge is best constructed</w:t>
      </w:r>
      <w:r w:rsidR="003D2063" w:rsidRPr="003F568C">
        <w:t>, including peer-to-peer interactions</w:t>
      </w:r>
      <w:r w:rsidR="0038508E" w:rsidRPr="003F568C">
        <w:t xml:space="preserve"> and</w:t>
      </w:r>
      <w:r w:rsidR="003D2063" w:rsidRPr="003F568C">
        <w:t xml:space="preserve"> novice-to-expert interactions</w:t>
      </w:r>
      <w:r w:rsidRPr="003F568C">
        <w:t>.</w:t>
      </w:r>
    </w:p>
    <w:p w14:paraId="3BC59400" w14:textId="2AB5C5A6" w:rsidR="00000010" w:rsidRPr="003F568C" w:rsidRDefault="00000010" w:rsidP="00DE1982">
      <w:pPr>
        <w:pStyle w:val="ListParagraph"/>
        <w:numPr>
          <w:ilvl w:val="0"/>
          <w:numId w:val="4"/>
        </w:numPr>
        <w:spacing w:line="276" w:lineRule="auto"/>
      </w:pPr>
      <w:r w:rsidRPr="003F568C">
        <w:t xml:space="preserve">The most powerful tools possible for creating meaningful and lasting artefacts </w:t>
      </w:r>
      <w:r w:rsidR="003D2063" w:rsidRPr="003F568C">
        <w:t xml:space="preserve">of </w:t>
      </w:r>
      <w:r w:rsidRPr="003F568C">
        <w:t>knowledge should be put in the hands of the students (and not just the teacher).</w:t>
      </w:r>
    </w:p>
    <w:p w14:paraId="0CAA32DB" w14:textId="23D041FF" w:rsidR="00000010" w:rsidRPr="003F568C" w:rsidRDefault="003D2063" w:rsidP="00DE1982">
      <w:pPr>
        <w:pStyle w:val="ListParagraph"/>
        <w:numPr>
          <w:ilvl w:val="0"/>
          <w:numId w:val="4"/>
        </w:numPr>
        <w:spacing w:line="276" w:lineRule="auto"/>
      </w:pPr>
      <w:r w:rsidRPr="003F568C">
        <w:t>The classroom design must facilitate the teacher</w:t>
      </w:r>
      <w:r w:rsidR="00DB5534" w:rsidRPr="003F568C">
        <w:t>’</w:t>
      </w:r>
      <w:r w:rsidRPr="003F568C">
        <w:t xml:space="preserve">s ability to </w:t>
      </w:r>
      <w:r w:rsidR="009A571B">
        <w:t xml:space="preserve">interact with and </w:t>
      </w:r>
      <w:r w:rsidRPr="003F568C">
        <w:t>assess student</w:t>
      </w:r>
      <w:r w:rsidR="009A571B">
        <w:t>s and their</w:t>
      </w:r>
      <w:r w:rsidRPr="003F568C">
        <w:t xml:space="preserve"> work, and </w:t>
      </w:r>
      <w:r w:rsidR="00DB5534" w:rsidRPr="003F568C">
        <w:t xml:space="preserve">it should </w:t>
      </w:r>
      <w:r w:rsidRPr="003F568C">
        <w:t xml:space="preserve">provide the teacher with easy to use </w:t>
      </w:r>
      <w:r w:rsidR="006418EB">
        <w:t>yet</w:t>
      </w:r>
      <w:r w:rsidR="006418EB" w:rsidRPr="003F568C">
        <w:t xml:space="preserve"> </w:t>
      </w:r>
      <w:r w:rsidRPr="003F568C">
        <w:t>powerful</w:t>
      </w:r>
      <w:r w:rsidR="00000010" w:rsidRPr="003F568C">
        <w:t xml:space="preserve"> orchestration tools.</w:t>
      </w:r>
    </w:p>
    <w:p w14:paraId="2D5F25CC" w14:textId="77777777" w:rsidR="00E225F2" w:rsidRPr="003F568C" w:rsidRDefault="00E225F2" w:rsidP="00DE1982">
      <w:pPr>
        <w:spacing w:line="276" w:lineRule="auto"/>
      </w:pPr>
    </w:p>
    <w:p w14:paraId="2A9E7F2A" w14:textId="77777777" w:rsidR="00D72445" w:rsidRPr="003F568C" w:rsidRDefault="00D72445" w:rsidP="00DE1982">
      <w:pPr>
        <w:spacing w:line="276" w:lineRule="auto"/>
      </w:pPr>
    </w:p>
    <w:p w14:paraId="4C4733A1" w14:textId="037CE882" w:rsidR="006C7C46" w:rsidRPr="003F568C" w:rsidRDefault="005F0904" w:rsidP="00DE1982">
      <w:pPr>
        <w:spacing w:line="276" w:lineRule="auto"/>
        <w:rPr>
          <w:b/>
        </w:rPr>
      </w:pPr>
      <w:r w:rsidRPr="003F568C">
        <w:rPr>
          <w:b/>
        </w:rPr>
        <w:t>Some E</w:t>
      </w:r>
      <w:r w:rsidR="006C7C46" w:rsidRPr="003F568C">
        <w:rPr>
          <w:b/>
        </w:rPr>
        <w:t>xamples.</w:t>
      </w:r>
    </w:p>
    <w:p w14:paraId="62947530" w14:textId="77777777" w:rsidR="006C7C46" w:rsidRPr="003F568C" w:rsidRDefault="006C7C46" w:rsidP="00DE1982">
      <w:pPr>
        <w:spacing w:line="276" w:lineRule="auto"/>
      </w:pPr>
    </w:p>
    <w:p w14:paraId="2F440E90" w14:textId="77777777" w:rsidR="00A15F79" w:rsidRDefault="00DB5534" w:rsidP="003954F9">
      <w:pPr>
        <w:spacing w:line="276" w:lineRule="auto"/>
      </w:pPr>
      <w:r w:rsidRPr="003F568C">
        <w:t xml:space="preserve">Over the last two decades, new classroom designs have emerged that meet many of the design features listed above. Among the most </w:t>
      </w:r>
      <w:r w:rsidR="0038508E" w:rsidRPr="003F568C">
        <w:t>popular</w:t>
      </w:r>
      <w:r w:rsidRPr="003F568C">
        <w:t xml:space="preserve"> are the </w:t>
      </w:r>
      <w:r w:rsidR="00621ED4" w:rsidRPr="003F568C">
        <w:t xml:space="preserve">SCALE-UP </w:t>
      </w:r>
      <w:r w:rsidR="00B14E4D" w:rsidRPr="003F568C">
        <w:t xml:space="preserve">classrooms </w:t>
      </w:r>
      <w:r w:rsidR="00621ED4" w:rsidRPr="003F568C">
        <w:t xml:space="preserve">(Student-Centered Active Learning Environment with Upside-down Pedagogies) </w:t>
      </w:r>
      <w:r w:rsidRPr="003F568C">
        <w:t xml:space="preserve">that </w:t>
      </w:r>
      <w:r w:rsidR="00621ED4" w:rsidRPr="003F568C">
        <w:t>were pioneered</w:t>
      </w:r>
      <w:r w:rsidR="00B14E4D" w:rsidRPr="003F568C">
        <w:t xml:space="preserve"> </w:t>
      </w:r>
      <w:r w:rsidR="00621ED4" w:rsidRPr="003F568C">
        <w:t>at North Carolina State University</w:t>
      </w:r>
      <w:r w:rsidRPr="003F568C">
        <w:t>. Since the early</w:t>
      </w:r>
      <w:r w:rsidR="00B14E4D" w:rsidRPr="003F568C">
        <w:t xml:space="preserve"> 1990’s </w:t>
      </w:r>
      <w:r w:rsidRPr="003F568C">
        <w:t xml:space="preserve">these classrooms </w:t>
      </w:r>
      <w:r w:rsidR="00B14E4D" w:rsidRPr="003F568C">
        <w:t>have steadily grown in popularity</w:t>
      </w:r>
      <w:r w:rsidRPr="003F568C">
        <w:t xml:space="preserve">, </w:t>
      </w:r>
      <w:r w:rsidR="00B14E4D" w:rsidRPr="003F568C">
        <w:t xml:space="preserve">as has </w:t>
      </w:r>
      <w:r w:rsidR="009C17EE" w:rsidRPr="003F568C">
        <w:t xml:space="preserve">the </w:t>
      </w:r>
      <w:r w:rsidR="00B14E4D" w:rsidRPr="003F568C">
        <w:t>evidence of their effectiveness</w:t>
      </w:r>
      <w:r w:rsidR="00A15F79">
        <w:t xml:space="preserve"> </w:t>
      </w:r>
      <w:r w:rsidR="00A15F79" w:rsidRPr="003F568C">
        <w:t>(Beichner et al., 2007; Brooker et al., 1013; Dori and Belcher 2005).</w:t>
      </w:r>
      <w:r w:rsidR="003954F9">
        <w:t xml:space="preserve"> </w:t>
      </w:r>
      <w:r w:rsidR="003954F9" w:rsidRPr="003954F9">
        <w:rPr>
          <w:lang w:val="en-US"/>
        </w:rPr>
        <w:t>This evidence</w:t>
      </w:r>
      <w:r w:rsidR="00A15F79">
        <w:rPr>
          <w:lang w:val="en-US"/>
        </w:rPr>
        <w:t>, including preliminary results from studies on the newer classrooms at Dawson College as outlined below, show</w:t>
      </w:r>
      <w:r w:rsidR="003954F9" w:rsidRPr="003954F9">
        <w:rPr>
          <w:lang w:val="en-US"/>
        </w:rPr>
        <w:t xml:space="preserve"> significant increases in conceptual</w:t>
      </w:r>
      <w:r w:rsidR="00A15F79">
        <w:rPr>
          <w:lang w:val="en-US"/>
        </w:rPr>
        <w:t xml:space="preserve"> </w:t>
      </w:r>
      <w:r w:rsidR="003954F9" w:rsidRPr="003954F9">
        <w:rPr>
          <w:lang w:val="en-US"/>
        </w:rPr>
        <w:t>understanding, improved attitudes, successful problem solving, and higher success rates, particularly</w:t>
      </w:r>
      <w:r w:rsidR="003954F9">
        <w:rPr>
          <w:lang w:val="en-US"/>
        </w:rPr>
        <w:t xml:space="preserve"> </w:t>
      </w:r>
      <w:r w:rsidR="003954F9" w:rsidRPr="003954F9">
        <w:rPr>
          <w:lang w:val="en-US"/>
        </w:rPr>
        <w:t>for females and minorities.</w:t>
      </w:r>
      <w:r w:rsidR="004D79B2" w:rsidRPr="003F568C">
        <w:t xml:space="preserve"> </w:t>
      </w:r>
    </w:p>
    <w:p w14:paraId="5CE1DE0A" w14:textId="77777777" w:rsidR="00A15F79" w:rsidRDefault="00A15F79" w:rsidP="003954F9">
      <w:pPr>
        <w:spacing w:line="276" w:lineRule="auto"/>
      </w:pPr>
    </w:p>
    <w:p w14:paraId="25CB374C" w14:textId="60EF717E" w:rsidR="00A25570" w:rsidRPr="003F568C" w:rsidRDefault="00B14E4D" w:rsidP="003954F9">
      <w:pPr>
        <w:spacing w:line="276" w:lineRule="auto"/>
      </w:pPr>
      <w:r w:rsidRPr="003F568C">
        <w:t xml:space="preserve">There are </w:t>
      </w:r>
      <w:r w:rsidR="00621ED4" w:rsidRPr="003F568C">
        <w:t xml:space="preserve">now more than 150 such classrooms across North America – including the much talked about spin-off TEAL </w:t>
      </w:r>
      <w:r w:rsidR="003A16CB" w:rsidRPr="003F568C">
        <w:t xml:space="preserve">classrooms </w:t>
      </w:r>
      <w:r w:rsidR="00621ED4" w:rsidRPr="003F568C">
        <w:t>(Technology Enabled Active Learning) at M.I.T.</w:t>
      </w:r>
      <w:r w:rsidR="009C17EE" w:rsidRPr="003F568C">
        <w:t xml:space="preserve"> as well </w:t>
      </w:r>
      <w:r w:rsidR="001467F9" w:rsidRPr="003F568C">
        <w:t>classrooms at</w:t>
      </w:r>
      <w:r w:rsidR="009C17EE" w:rsidRPr="003F568C">
        <w:t xml:space="preserve"> McGill, UBC, McMaster</w:t>
      </w:r>
      <w:r w:rsidR="003A16CB" w:rsidRPr="003F568C">
        <w:t xml:space="preserve"> and </w:t>
      </w:r>
      <w:r w:rsidR="009C17EE" w:rsidRPr="003F568C">
        <w:t>Simon Fraser University</w:t>
      </w:r>
      <w:r w:rsidR="001467F9" w:rsidRPr="003F568C">
        <w:t xml:space="preserve"> here in Canada.</w:t>
      </w:r>
      <w:bookmarkStart w:id="0" w:name="_GoBack"/>
      <w:bookmarkEnd w:id="0"/>
    </w:p>
    <w:p w14:paraId="5C0DDAC1" w14:textId="77777777" w:rsidR="001467F9" w:rsidRPr="003F568C" w:rsidRDefault="001467F9" w:rsidP="00DE1982">
      <w:pPr>
        <w:spacing w:line="276" w:lineRule="auto"/>
      </w:pPr>
    </w:p>
    <w:p w14:paraId="2F038A4D" w14:textId="3BD44899" w:rsidR="004D79B2" w:rsidRPr="003F568C" w:rsidRDefault="009C17EE" w:rsidP="00DE1982">
      <w:pPr>
        <w:spacing w:line="276" w:lineRule="auto"/>
      </w:pPr>
      <w:r w:rsidRPr="003F568C">
        <w:t xml:space="preserve">SCALE-UP </w:t>
      </w:r>
      <w:r w:rsidR="0038508E" w:rsidRPr="003F568C">
        <w:t>(</w:t>
      </w:r>
      <w:r w:rsidR="0030337B" w:rsidRPr="0030337B">
        <w:t>http://scaleup.ncsu.edu</w:t>
      </w:r>
      <w:r w:rsidR="0038508E" w:rsidRPr="003F568C">
        <w:t xml:space="preserve">) </w:t>
      </w:r>
      <w:r w:rsidRPr="003F568C">
        <w:t xml:space="preserve">classrooms feature </w:t>
      </w:r>
      <w:r w:rsidR="009173E6" w:rsidRPr="003F568C">
        <w:t xml:space="preserve">round tables where students work collaboratively in groups. In most cases tables seat nine, which means that it’s easy to subdivide students into three groups of three at each table. Around the walls of these classrooms are a mix of whiteboards and screens that </w:t>
      </w:r>
      <w:r w:rsidR="003A16CB" w:rsidRPr="003F568C">
        <w:t>project the contents of student</w:t>
      </w:r>
      <w:r w:rsidR="0038508E" w:rsidRPr="003F568C">
        <w:t xml:space="preserve"> or teacher</w:t>
      </w:r>
      <w:r w:rsidR="003A16CB" w:rsidRPr="003F568C">
        <w:t xml:space="preserve"> computers</w:t>
      </w:r>
      <w:r w:rsidR="0038508E" w:rsidRPr="003F568C">
        <w:t xml:space="preserve"> to individual screens or </w:t>
      </w:r>
      <w:r w:rsidR="006418EB">
        <w:t>to the entire</w:t>
      </w:r>
      <w:r w:rsidR="0038508E" w:rsidRPr="003F568C">
        <w:t xml:space="preserve"> room.</w:t>
      </w:r>
      <w:r w:rsidR="003A16CB" w:rsidRPr="003F568C">
        <w:t xml:space="preserve"> Importantly, the teacher is no</w:t>
      </w:r>
      <w:r w:rsidR="0038508E" w:rsidRPr="003F568C">
        <w:t xml:space="preserve"> longer the centre of attention</w:t>
      </w:r>
      <w:r w:rsidR="003D4EBC">
        <w:t xml:space="preserve"> but rather t</w:t>
      </w:r>
      <w:r w:rsidR="003A16CB" w:rsidRPr="003F568C">
        <w:t xml:space="preserve">he </w:t>
      </w:r>
      <w:r w:rsidR="0038508E" w:rsidRPr="003F568C">
        <w:t xml:space="preserve">groups and their work that </w:t>
      </w:r>
      <w:r w:rsidR="003D4EBC">
        <w:t>are</w:t>
      </w:r>
      <w:r w:rsidR="003A16CB" w:rsidRPr="003F568C">
        <w:t xml:space="preserve">. </w:t>
      </w:r>
      <w:r w:rsidR="004D79B2" w:rsidRPr="003F568C">
        <w:t xml:space="preserve">SCALE-UP </w:t>
      </w:r>
      <w:r w:rsidR="001467F9" w:rsidRPr="003F568C">
        <w:t>classroom</w:t>
      </w:r>
      <w:r w:rsidR="004D79B2" w:rsidRPr="003F568C">
        <w:t>s typically seat 50 to 1</w:t>
      </w:r>
      <w:r w:rsidR="001467F9" w:rsidRPr="003F568C">
        <w:t>3</w:t>
      </w:r>
      <w:r w:rsidR="004D79B2" w:rsidRPr="003F568C">
        <w:t xml:space="preserve">0 students. </w:t>
      </w:r>
      <w:r w:rsidR="00D111E0" w:rsidRPr="003F568C">
        <w:t>In some cases, such as the</w:t>
      </w:r>
      <w:r w:rsidR="004D79B2" w:rsidRPr="003F568C">
        <w:t xml:space="preserve"> </w:t>
      </w:r>
      <w:r w:rsidR="00396400" w:rsidRPr="003F568C">
        <w:t>TEAL</w:t>
      </w:r>
      <w:r w:rsidR="003C3589" w:rsidRPr="003F568C">
        <w:t xml:space="preserve"> classrooms at </w:t>
      </w:r>
      <w:r w:rsidR="00396400" w:rsidRPr="003F568C">
        <w:t>M.I.T.</w:t>
      </w:r>
      <w:r w:rsidR="0030337B">
        <w:t xml:space="preserve"> (</w:t>
      </w:r>
      <w:r w:rsidR="0030337B" w:rsidRPr="0030337B">
        <w:t>http://icampus.mit.edu/projects/teal/</w:t>
      </w:r>
      <w:r w:rsidR="0038508E" w:rsidRPr="003F568C">
        <w:t>)</w:t>
      </w:r>
      <w:r w:rsidR="000F75FF" w:rsidRPr="003F568C">
        <w:t>, the technology</w:t>
      </w:r>
      <w:r w:rsidR="001467F9" w:rsidRPr="003F568C">
        <w:t xml:space="preserve"> also</w:t>
      </w:r>
      <w:r w:rsidR="004D79B2" w:rsidRPr="003F568C">
        <w:t xml:space="preserve"> allows for </w:t>
      </w:r>
      <w:r w:rsidR="003C3589" w:rsidRPr="003F568C">
        <w:t xml:space="preserve">a collaborative, hands-on environment where students </w:t>
      </w:r>
      <w:r w:rsidR="000F75FF" w:rsidRPr="003F568C">
        <w:t xml:space="preserve">can </w:t>
      </w:r>
      <w:r w:rsidR="003C3589" w:rsidRPr="003F568C">
        <w:t xml:space="preserve">carry out desktop experiments and engage in </w:t>
      </w:r>
      <w:r w:rsidR="004D79B2" w:rsidRPr="003F568C">
        <w:t xml:space="preserve">interactive </w:t>
      </w:r>
      <w:r w:rsidR="003C3589" w:rsidRPr="003F568C">
        <w:t>learning activities that use projection screens</w:t>
      </w:r>
      <w:r w:rsidR="004D79B2" w:rsidRPr="003F568C">
        <w:t xml:space="preserve">. </w:t>
      </w:r>
    </w:p>
    <w:p w14:paraId="0DFEB2C4" w14:textId="77777777" w:rsidR="004D79B2" w:rsidRPr="003F568C" w:rsidRDefault="004D79B2" w:rsidP="00DE1982">
      <w:pPr>
        <w:spacing w:line="276" w:lineRule="auto"/>
      </w:pPr>
    </w:p>
    <w:p w14:paraId="473D84E9" w14:textId="4C909388" w:rsidR="00857F97" w:rsidRPr="003F568C" w:rsidRDefault="000F75FF" w:rsidP="00DE1982">
      <w:pPr>
        <w:spacing w:line="276" w:lineRule="auto"/>
      </w:pPr>
      <w:r w:rsidRPr="003F568C">
        <w:t>A newer variant of Active Learning Classrooms has recently been developed at Dawson College in Montreal</w:t>
      </w:r>
      <w:r w:rsidR="00D72445" w:rsidRPr="003F568C">
        <w:t xml:space="preserve"> by the authors</w:t>
      </w:r>
      <w:r w:rsidRPr="003F568C">
        <w:t xml:space="preserve">. In our case, we sought to </w:t>
      </w:r>
      <w:r w:rsidR="00806A1B">
        <w:t xml:space="preserve">use the lessons of active learning classroom research to </w:t>
      </w:r>
      <w:r w:rsidRPr="003F568C">
        <w:t xml:space="preserve">enhance </w:t>
      </w:r>
      <w:r w:rsidR="00D111E0" w:rsidRPr="003F568C">
        <w:t xml:space="preserve">collaborative group work </w:t>
      </w:r>
      <w:r w:rsidR="00D72445" w:rsidRPr="003F568C">
        <w:t xml:space="preserve">in </w:t>
      </w:r>
      <w:r w:rsidR="00806A1B">
        <w:t xml:space="preserve">smaller </w:t>
      </w:r>
      <w:r w:rsidR="00D72445" w:rsidRPr="003F568C">
        <w:t xml:space="preserve">classrooms </w:t>
      </w:r>
      <w:r w:rsidR="006418EB">
        <w:t>(</w:t>
      </w:r>
      <w:r w:rsidR="00806A1B">
        <w:t>30-40</w:t>
      </w:r>
      <w:r w:rsidR="006418EB">
        <w:t xml:space="preserve"> student</w:t>
      </w:r>
      <w:r w:rsidR="00806A1B">
        <w:t>s</w:t>
      </w:r>
      <w:r w:rsidR="006418EB">
        <w:t xml:space="preserve">) </w:t>
      </w:r>
      <w:r w:rsidR="00D111E0" w:rsidRPr="003F568C">
        <w:t xml:space="preserve">by </w:t>
      </w:r>
      <w:r w:rsidRPr="003F568C">
        <w:t>integrati</w:t>
      </w:r>
      <w:r w:rsidR="00D111E0" w:rsidRPr="003F568C">
        <w:t>ng</w:t>
      </w:r>
      <w:r w:rsidRPr="003F568C">
        <w:t xml:space="preserve"> interactive touch-screen technologies </w:t>
      </w:r>
      <w:r w:rsidR="007F2DD0" w:rsidRPr="003F568C">
        <w:t>into each student group</w:t>
      </w:r>
      <w:r w:rsidRPr="003F568C">
        <w:t>. Instead of using a combination of whiteboards and projectors</w:t>
      </w:r>
      <w:r w:rsidR="00D111E0" w:rsidRPr="003F568C">
        <w:t>,</w:t>
      </w:r>
      <w:r w:rsidRPr="003F568C">
        <w:t xml:space="preserve"> Dawson’s </w:t>
      </w:r>
      <w:r w:rsidR="00F53221" w:rsidRPr="003F568C">
        <w:t xml:space="preserve">Technology Rich </w:t>
      </w:r>
      <w:r w:rsidRPr="003F568C">
        <w:t>Active Learning Classrooms (D</w:t>
      </w:r>
      <w:r w:rsidR="00F53221" w:rsidRPr="003F568C">
        <w:t>TR-</w:t>
      </w:r>
      <w:r w:rsidRPr="003F568C">
        <w:t xml:space="preserve">ALC) feature SMART Boards </w:t>
      </w:r>
      <w:r w:rsidR="00593533">
        <w:t>(</w:t>
      </w:r>
      <w:hyperlink r:id="rId8" w:history="1">
        <w:r w:rsidR="00593533" w:rsidRPr="00FF3E59">
          <w:rPr>
            <w:rStyle w:val="Hyperlink"/>
          </w:rPr>
          <w:t>http://smarttech.com/smartboard</w:t>
        </w:r>
      </w:hyperlink>
      <w:r w:rsidR="00593533">
        <w:t xml:space="preserve">) </w:t>
      </w:r>
      <w:r w:rsidRPr="003F568C">
        <w:t xml:space="preserve">for each student group. SMART Boards </w:t>
      </w:r>
      <w:r w:rsidR="007F2DD0" w:rsidRPr="003F568C">
        <w:t xml:space="preserve">– both in terms of the technology and the software suite that comes with them - </w:t>
      </w:r>
      <w:r w:rsidRPr="003F568C">
        <w:t>offer unique affordances when it comes to collaborative group work and in particular, they offer powerful opportunities for the creation</w:t>
      </w:r>
      <w:r w:rsidR="00806A1B">
        <w:t>,</w:t>
      </w:r>
      <w:r w:rsidR="00D111E0" w:rsidRPr="003F568C">
        <w:t xml:space="preserve"> </w:t>
      </w:r>
      <w:r w:rsidRPr="003F568C">
        <w:t xml:space="preserve">manipulation </w:t>
      </w:r>
      <w:r w:rsidR="00806A1B">
        <w:t xml:space="preserve">and distribution </w:t>
      </w:r>
      <w:r w:rsidR="00D111E0" w:rsidRPr="003F568C">
        <w:t xml:space="preserve">of </w:t>
      </w:r>
      <w:r w:rsidRPr="003F568C">
        <w:t>shared artefacts</w:t>
      </w:r>
      <w:r w:rsidR="007F2DD0" w:rsidRPr="003F568C">
        <w:t xml:space="preserve"> and the orchestration of class activities</w:t>
      </w:r>
      <w:r w:rsidRPr="003F568C">
        <w:t>.</w:t>
      </w:r>
    </w:p>
    <w:p w14:paraId="58D92248" w14:textId="77777777" w:rsidR="00D111E0" w:rsidRPr="003F568C" w:rsidRDefault="00D111E0" w:rsidP="00DE1982">
      <w:pPr>
        <w:spacing w:line="276" w:lineRule="auto"/>
      </w:pPr>
    </w:p>
    <w:p w14:paraId="45D11BEF" w14:textId="545803AB" w:rsidR="00B83E62" w:rsidRPr="003F568C" w:rsidRDefault="00D111E0" w:rsidP="00DE1982">
      <w:pPr>
        <w:spacing w:line="276" w:lineRule="auto"/>
      </w:pPr>
      <w:r w:rsidRPr="003F568C">
        <w:t xml:space="preserve">In order to seamlessly integrate </w:t>
      </w:r>
      <w:r w:rsidR="007F2DD0" w:rsidRPr="003F568C">
        <w:t>SMART Boards</w:t>
      </w:r>
      <w:r w:rsidRPr="003F568C">
        <w:t xml:space="preserve"> into the groups and in order to facilitate the exchange between all students sitting at a table, we had to re-think the table itself. Instead of a large round table with lots of space and computer screens in the middle, we decided to make the tables smaller</w:t>
      </w:r>
      <w:r w:rsidR="00B83E62" w:rsidRPr="003F568C">
        <w:t xml:space="preserve"> and</w:t>
      </w:r>
      <w:r w:rsidRPr="003F568C">
        <w:t xml:space="preserve"> shaped like an oval with one end “pinched</w:t>
      </w:r>
      <w:r w:rsidR="001467F9" w:rsidRPr="003F568C">
        <w:t>”</w:t>
      </w:r>
      <w:r w:rsidR="00B83E62" w:rsidRPr="003F568C">
        <w:t xml:space="preserve">. We also </w:t>
      </w:r>
      <w:r w:rsidRPr="003F568C">
        <w:t xml:space="preserve">removed any obstacles on the </w:t>
      </w:r>
      <w:r w:rsidR="001467F9" w:rsidRPr="003F568C">
        <w:t>table</w:t>
      </w:r>
      <w:r w:rsidRPr="003F568C">
        <w:t>top</w:t>
      </w:r>
      <w:r w:rsidR="00B83E62" w:rsidRPr="003F568C">
        <w:t xml:space="preserve"> and we placed the SMART Board at the wide end of the table. </w:t>
      </w:r>
      <w:r w:rsidRPr="003F568C">
        <w:t xml:space="preserve">This </w:t>
      </w:r>
      <w:r w:rsidR="00B83E62" w:rsidRPr="003F568C">
        <w:t>design has many advantages:</w:t>
      </w:r>
    </w:p>
    <w:p w14:paraId="6B679861" w14:textId="2475109F" w:rsidR="00B83E62" w:rsidRPr="003F568C" w:rsidRDefault="00B83E62" w:rsidP="00DE1982">
      <w:pPr>
        <w:pStyle w:val="ListParagraph"/>
        <w:numPr>
          <w:ilvl w:val="0"/>
          <w:numId w:val="1"/>
        </w:numPr>
        <w:spacing w:line="276" w:lineRule="auto"/>
      </w:pPr>
      <w:r w:rsidRPr="003F568C">
        <w:t xml:space="preserve">It brings every student within reach of any other students in the group – no one is </w:t>
      </w:r>
      <w:r w:rsidR="00015521">
        <w:t>s</w:t>
      </w:r>
      <w:r w:rsidRPr="003F568C">
        <w:t xml:space="preserve">o far away that </w:t>
      </w:r>
      <w:r w:rsidR="006418EB">
        <w:t>they</w:t>
      </w:r>
      <w:r w:rsidR="006418EB" w:rsidRPr="003F568C">
        <w:t xml:space="preserve"> </w:t>
      </w:r>
      <w:r w:rsidRPr="003F568C">
        <w:t xml:space="preserve">can’t talk with </w:t>
      </w:r>
      <w:r w:rsidR="006418EB">
        <w:t>any other group member</w:t>
      </w:r>
      <w:r w:rsidR="006418EB" w:rsidRPr="003F568C">
        <w:t xml:space="preserve"> </w:t>
      </w:r>
      <w:r w:rsidRPr="003F568C">
        <w:t>or slide a piece of paper across to them.</w:t>
      </w:r>
    </w:p>
    <w:p w14:paraId="2ED89A1D" w14:textId="6178A82A" w:rsidR="00B83E62" w:rsidRPr="003F568C" w:rsidRDefault="007F2DD0" w:rsidP="00DE1982">
      <w:pPr>
        <w:pStyle w:val="ListParagraph"/>
        <w:numPr>
          <w:ilvl w:val="0"/>
          <w:numId w:val="1"/>
        </w:numPr>
        <w:spacing w:line="276" w:lineRule="auto"/>
      </w:pPr>
      <w:r w:rsidRPr="003F568C">
        <w:t>The table shape reinforces the importance of the SMART Board and invites students to integrate it into their activities without detracting from the group itself</w:t>
      </w:r>
      <w:r w:rsidR="00B83E62" w:rsidRPr="003F568C">
        <w:t>.</w:t>
      </w:r>
    </w:p>
    <w:p w14:paraId="7C48A812" w14:textId="6CD83257" w:rsidR="00B83E62" w:rsidRPr="003F568C" w:rsidRDefault="00B83E62" w:rsidP="00DE1982">
      <w:pPr>
        <w:pStyle w:val="ListParagraph"/>
        <w:numPr>
          <w:ilvl w:val="0"/>
          <w:numId w:val="1"/>
        </w:numPr>
        <w:spacing w:line="276" w:lineRule="auto"/>
      </w:pPr>
      <w:r w:rsidRPr="003F568C">
        <w:t xml:space="preserve">The “pinched” oval shape allows for greater room between the </w:t>
      </w:r>
      <w:proofErr w:type="gramStart"/>
      <w:r w:rsidRPr="003F568C">
        <w:t xml:space="preserve">tables </w:t>
      </w:r>
      <w:r w:rsidR="007F2DD0" w:rsidRPr="003F568C">
        <w:t>which facilitates circulation</w:t>
      </w:r>
      <w:proofErr w:type="gramEnd"/>
      <w:r w:rsidR="007F2DD0" w:rsidRPr="003F568C">
        <w:t xml:space="preserve"> and interactions</w:t>
      </w:r>
      <w:r w:rsidRPr="003F568C">
        <w:t>.</w:t>
      </w:r>
    </w:p>
    <w:p w14:paraId="222A1B71" w14:textId="5E938A6A" w:rsidR="007F2DD0" w:rsidRPr="003F568C" w:rsidRDefault="007F2DD0" w:rsidP="00DE1982">
      <w:pPr>
        <w:pStyle w:val="ListParagraph"/>
        <w:numPr>
          <w:ilvl w:val="0"/>
          <w:numId w:val="1"/>
        </w:numPr>
        <w:spacing w:line="276" w:lineRule="auto"/>
      </w:pPr>
      <w:r w:rsidRPr="003F568C">
        <w:t xml:space="preserve">A local area network </w:t>
      </w:r>
      <w:r w:rsidR="00CF3486" w:rsidRPr="003F568C">
        <w:t>coupled with</w:t>
      </w:r>
      <w:r w:rsidRPr="003F568C">
        <w:t xml:space="preserve"> SMART </w:t>
      </w:r>
      <w:r w:rsidR="00806A1B">
        <w:t xml:space="preserve">Classroom Suite™ </w:t>
      </w:r>
      <w:r w:rsidRPr="003F568C">
        <w:t xml:space="preserve">software allows for </w:t>
      </w:r>
      <w:r w:rsidR="00F37D51">
        <w:t xml:space="preserve">the creation of lasting, dynamic learning artefacts, along with the </w:t>
      </w:r>
      <w:r w:rsidRPr="003F568C">
        <w:t xml:space="preserve">effective </w:t>
      </w:r>
      <w:r w:rsidR="00F37D51">
        <w:t xml:space="preserve">orchestration and </w:t>
      </w:r>
      <w:r w:rsidRPr="003F568C">
        <w:t xml:space="preserve">control of the </w:t>
      </w:r>
      <w:r w:rsidR="00F37D51">
        <w:t>classroom</w:t>
      </w:r>
      <w:r w:rsidR="00CF3486" w:rsidRPr="003F568C">
        <w:t>.</w:t>
      </w:r>
    </w:p>
    <w:p w14:paraId="1D05069D" w14:textId="58F37820" w:rsidR="00D111E0" w:rsidRDefault="00D111E0" w:rsidP="00DE1982">
      <w:pPr>
        <w:spacing w:line="276" w:lineRule="auto"/>
      </w:pPr>
    </w:p>
    <w:p w14:paraId="7A8F7A5A" w14:textId="17F76D8E" w:rsidR="00EF014C" w:rsidRDefault="00EF014C" w:rsidP="00DE1982">
      <w:pPr>
        <w:spacing w:line="276" w:lineRule="auto"/>
      </w:pPr>
      <w:r>
        <w:t xml:space="preserve">Unfortunately, money doesn’t grow on trees and the investment required for technology-rich active learning classrooms is significant. </w:t>
      </w:r>
      <w:r w:rsidR="00834FE8">
        <w:t>Having said that, a</w:t>
      </w:r>
      <w:r>
        <w:t>s interactive t</w:t>
      </w:r>
      <w:r w:rsidR="00834FE8">
        <w:t>echnologies continue to develop</w:t>
      </w:r>
      <w:r>
        <w:t xml:space="preserve">, these costs will only decrease </w:t>
      </w:r>
      <w:r w:rsidR="00834FE8">
        <w:t xml:space="preserve">making such learning environments more and more affordable. </w:t>
      </w:r>
      <w:r w:rsidR="00587DBF">
        <w:t xml:space="preserve">What’s more, low-tech variants of the designs outlined here may provide ways to get much of the learning advantages of these classrooms at a fraction of the cost. At Dawson </w:t>
      </w:r>
      <w:proofErr w:type="gramStart"/>
      <w:r w:rsidR="00587DBF">
        <w:t>college,</w:t>
      </w:r>
      <w:proofErr w:type="gramEnd"/>
      <w:r w:rsidR="00587DBF">
        <w:t xml:space="preserve"> such classrooms are in the works and it is anticipated that when used in collaboration with the high-tech rooms through a flexible scheduling arrangement that the benefit-to-cost ratio will be maximized. </w:t>
      </w:r>
      <w:r w:rsidR="00834FE8">
        <w:t xml:space="preserve">In any case, it is </w:t>
      </w:r>
      <w:r w:rsidR="00587DBF">
        <w:t>essential</w:t>
      </w:r>
      <w:r w:rsidR="00834FE8">
        <w:t xml:space="preserve"> that research continue so that we can </w:t>
      </w:r>
      <w:r w:rsidR="00737210">
        <w:t xml:space="preserve">identify successful pedagogical strategies and </w:t>
      </w:r>
      <w:r w:rsidR="00834FE8">
        <w:t xml:space="preserve">engage in a </w:t>
      </w:r>
      <w:r w:rsidR="00587DBF">
        <w:t xml:space="preserve">meaningful </w:t>
      </w:r>
      <w:r w:rsidR="00834FE8">
        <w:t>cost-benefits analysis.</w:t>
      </w:r>
    </w:p>
    <w:p w14:paraId="6D55CA40" w14:textId="77777777" w:rsidR="00EF014C" w:rsidRPr="003F568C" w:rsidRDefault="00EF014C" w:rsidP="00DE1982">
      <w:pPr>
        <w:spacing w:line="276" w:lineRule="auto"/>
      </w:pPr>
    </w:p>
    <w:p w14:paraId="0BE31C5D" w14:textId="55C93E60" w:rsidR="00C80C4F" w:rsidRPr="003F568C" w:rsidRDefault="003F568C" w:rsidP="00DE1982">
      <w:pPr>
        <w:spacing w:line="276" w:lineRule="auto"/>
        <w:rPr>
          <w:b/>
        </w:rPr>
      </w:pPr>
      <w:r w:rsidRPr="003F568C">
        <w:rPr>
          <w:b/>
        </w:rPr>
        <w:t>One Last Thing</w:t>
      </w:r>
    </w:p>
    <w:p w14:paraId="3E6C9286" w14:textId="77777777" w:rsidR="00C80C4F" w:rsidRPr="003F568C" w:rsidRDefault="00C80C4F" w:rsidP="00DE1982">
      <w:pPr>
        <w:spacing w:line="276" w:lineRule="auto"/>
        <w:rPr>
          <w:b/>
        </w:rPr>
      </w:pPr>
    </w:p>
    <w:p w14:paraId="663DF37F" w14:textId="6451ECFF" w:rsidR="00C80C4F" w:rsidRPr="003F568C" w:rsidRDefault="00C80C4F" w:rsidP="00DE1982">
      <w:pPr>
        <w:spacing w:line="276" w:lineRule="auto"/>
      </w:pPr>
      <w:r w:rsidRPr="003F568C">
        <w:t>It is important to note that classroom design is not as important as pedagogy</w:t>
      </w:r>
      <w:r w:rsidR="00CD7FCA" w:rsidRPr="003F568C">
        <w:t xml:space="preserve"> (Charles et al. </w:t>
      </w:r>
      <w:r w:rsidR="00CF3486" w:rsidRPr="003F568C">
        <w:t>2012</w:t>
      </w:r>
      <w:r w:rsidR="00CD7FCA" w:rsidRPr="003F568C">
        <w:t>)</w:t>
      </w:r>
      <w:r w:rsidRPr="003F568C">
        <w:t>. Active learning can be done in any classroom</w:t>
      </w:r>
      <w:r w:rsidR="00CF3486" w:rsidRPr="003F568C">
        <w:t>,</w:t>
      </w:r>
      <w:r w:rsidR="00CD7FCA" w:rsidRPr="003F568C">
        <w:t xml:space="preserve"> but in a classroom that is specifically designed for it, there are richer opportunities to make the most of </w:t>
      </w:r>
      <w:r w:rsidR="003D4EBC">
        <w:t>active learning</w:t>
      </w:r>
      <w:r w:rsidR="00EF014C">
        <w:t xml:space="preserve"> strategies. </w:t>
      </w:r>
      <w:r w:rsidR="00445AC8" w:rsidRPr="003F568C">
        <w:t>The downside is that</w:t>
      </w:r>
      <w:r w:rsidR="00CD7FCA" w:rsidRPr="003F568C">
        <w:t xml:space="preserve"> teaching in an active learning classroom effectively can be very challenging. It is therefore not enough to build new classrooms without developing the expertise to use them properly. At Dawson College</w:t>
      </w:r>
      <w:r w:rsidR="00445AC8" w:rsidRPr="003F568C">
        <w:t>,</w:t>
      </w:r>
      <w:r w:rsidR="00CD7FCA" w:rsidRPr="003F568C">
        <w:t xml:space="preserve"> and at most </w:t>
      </w:r>
      <w:r w:rsidR="00445AC8" w:rsidRPr="003F568C">
        <w:t xml:space="preserve">of the </w:t>
      </w:r>
      <w:r w:rsidR="00CD7FCA" w:rsidRPr="003F568C">
        <w:t>other institutions we collaborate with, the development of expertise is done through a vibrant community of practice</w:t>
      </w:r>
      <w:r w:rsidR="00445AC8" w:rsidRPr="003F568C">
        <w:t xml:space="preserve"> and</w:t>
      </w:r>
      <w:r w:rsidR="003F568C" w:rsidRPr="003F568C">
        <w:t xml:space="preserve"> we incorporate research into our community of practice in a very important way. </w:t>
      </w:r>
    </w:p>
    <w:p w14:paraId="5A785C32" w14:textId="77777777" w:rsidR="007E1990" w:rsidRPr="003F568C" w:rsidRDefault="007E1990" w:rsidP="00DE1982">
      <w:pPr>
        <w:spacing w:line="276" w:lineRule="auto"/>
      </w:pPr>
    </w:p>
    <w:p w14:paraId="549A1337" w14:textId="35DFF980" w:rsidR="00B44449" w:rsidRPr="003F568C" w:rsidRDefault="00B44449" w:rsidP="00DE1982">
      <w:pPr>
        <w:spacing w:line="276" w:lineRule="auto"/>
      </w:pPr>
      <w:r w:rsidRPr="003F568C">
        <w:t>Photos:</w:t>
      </w:r>
    </w:p>
    <w:p w14:paraId="7F96C467" w14:textId="09C95AD9" w:rsidR="007E1990" w:rsidRPr="003F568C" w:rsidRDefault="00B44449" w:rsidP="007E1990">
      <w:r w:rsidRPr="0064400F">
        <w:rPr>
          <w:noProof/>
          <w:lang w:val="en-US"/>
        </w:rPr>
        <w:drawing>
          <wp:inline distT="0" distB="0" distL="0" distR="0" wp14:anchorId="0CAEE032" wp14:editId="77C29544">
            <wp:extent cx="5486400" cy="2573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C_2012_wide angle (bright).jpg"/>
                    <pic:cNvPicPr/>
                  </pic:nvPicPr>
                  <pic:blipFill>
                    <a:blip r:embed="rId9" cstate="print">
                      <a:extLst>
                        <a:ext uri="{28A0092B-C50C-407E-A947-70E740481C1C}">
                          <a14:useLocalDpi xmlns:a14="http://schemas.microsoft.com/office/drawing/2010/main"/>
                        </a:ext>
                      </a:extLst>
                    </a:blip>
                    <a:stretch>
                      <a:fillRect/>
                    </a:stretch>
                  </pic:blipFill>
                  <pic:spPr>
                    <a:xfrm>
                      <a:off x="0" y="0"/>
                      <a:ext cx="5486400" cy="2573655"/>
                    </a:xfrm>
                    <a:prstGeom prst="rect">
                      <a:avLst/>
                    </a:prstGeom>
                  </pic:spPr>
                </pic:pic>
              </a:graphicData>
            </a:graphic>
          </wp:inline>
        </w:drawing>
      </w:r>
    </w:p>
    <w:p w14:paraId="24FB4B86" w14:textId="17D39645" w:rsidR="00B44449" w:rsidRPr="003F568C" w:rsidRDefault="00B44449" w:rsidP="007E1990">
      <w:r w:rsidRPr="003F568C">
        <w:t xml:space="preserve">Figure 1. </w:t>
      </w:r>
      <w:proofErr w:type="gramStart"/>
      <w:r w:rsidRPr="003F568C">
        <w:t xml:space="preserve">The Dawson </w:t>
      </w:r>
      <w:r w:rsidR="00F53221" w:rsidRPr="003F568C">
        <w:t xml:space="preserve">Technology Rich </w:t>
      </w:r>
      <w:r w:rsidRPr="003F568C">
        <w:t xml:space="preserve">Active Learning Classroom </w:t>
      </w:r>
      <w:r w:rsidR="00F53221" w:rsidRPr="003F568C">
        <w:t>(DTR-ALC).</w:t>
      </w:r>
      <w:proofErr w:type="gramEnd"/>
    </w:p>
    <w:p w14:paraId="578D0774" w14:textId="77777777" w:rsidR="00B44449" w:rsidRPr="003F568C" w:rsidRDefault="00B44449" w:rsidP="007E1990"/>
    <w:p w14:paraId="7021D89E" w14:textId="77777777" w:rsidR="00F53221" w:rsidRPr="003F568C" w:rsidRDefault="00F53221" w:rsidP="007E1990"/>
    <w:p w14:paraId="5D80144A" w14:textId="77777777" w:rsidR="00F53221" w:rsidRPr="003F568C" w:rsidRDefault="00F53221" w:rsidP="007E1990"/>
    <w:p w14:paraId="55F99635" w14:textId="6C737924" w:rsidR="007E1990" w:rsidRPr="0030337B" w:rsidRDefault="007E1990" w:rsidP="0030337B">
      <w:pPr>
        <w:spacing w:line="276" w:lineRule="auto"/>
        <w:rPr>
          <w:b/>
        </w:rPr>
      </w:pPr>
      <w:r w:rsidRPr="0030337B">
        <w:rPr>
          <w:b/>
        </w:rPr>
        <w:t>References</w:t>
      </w:r>
      <w:r w:rsidR="00B44449" w:rsidRPr="0030337B">
        <w:rPr>
          <w:b/>
        </w:rPr>
        <w:t>:</w:t>
      </w:r>
    </w:p>
    <w:p w14:paraId="38075D49" w14:textId="77777777" w:rsidR="007E1990" w:rsidRPr="003F568C" w:rsidRDefault="007E1990" w:rsidP="0030337B">
      <w:pPr>
        <w:pStyle w:val="StyleReferencesLeft0Firstline0"/>
        <w:spacing w:before="120" w:after="0" w:line="276" w:lineRule="auto"/>
        <w:ind w:left="357" w:hanging="357"/>
        <w:rPr>
          <w:rFonts w:asciiTheme="minorHAnsi" w:hAnsiTheme="minorHAnsi"/>
          <w:szCs w:val="24"/>
        </w:rPr>
      </w:pPr>
      <w:r w:rsidRPr="003F568C">
        <w:rPr>
          <w:rFonts w:asciiTheme="minorHAnsi" w:hAnsiTheme="minorHAnsi"/>
          <w:szCs w:val="24"/>
        </w:rPr>
        <w:t xml:space="preserve">Dewey, J. 1915. </w:t>
      </w:r>
      <w:r w:rsidRPr="003F568C">
        <w:rPr>
          <w:rFonts w:asciiTheme="minorHAnsi" w:hAnsiTheme="minorHAnsi"/>
          <w:i/>
          <w:szCs w:val="24"/>
        </w:rPr>
        <w:t xml:space="preserve">The School and Society. </w:t>
      </w:r>
      <w:r w:rsidRPr="003F568C">
        <w:rPr>
          <w:rFonts w:asciiTheme="minorHAnsi" w:hAnsiTheme="minorHAnsi"/>
          <w:szCs w:val="24"/>
        </w:rPr>
        <w:t>Chicago, IL: University of Chicago Press.</w:t>
      </w:r>
    </w:p>
    <w:p w14:paraId="0D92916A" w14:textId="77777777" w:rsidR="007E1990" w:rsidRPr="003F568C" w:rsidRDefault="007E1990" w:rsidP="0030337B">
      <w:pPr>
        <w:tabs>
          <w:tab w:val="left" w:pos="2700"/>
        </w:tabs>
        <w:spacing w:before="120" w:line="276" w:lineRule="auto"/>
        <w:ind w:left="357" w:hanging="357"/>
      </w:pPr>
      <w:proofErr w:type="spellStart"/>
      <w:r w:rsidRPr="003F568C">
        <w:t>Greeno</w:t>
      </w:r>
      <w:proofErr w:type="spellEnd"/>
      <w:r w:rsidRPr="003F568C">
        <w:t xml:space="preserve">, J. G. (1998). </w:t>
      </w:r>
      <w:proofErr w:type="gramStart"/>
      <w:r w:rsidRPr="003F568C">
        <w:t xml:space="preserve">The </w:t>
      </w:r>
      <w:proofErr w:type="spellStart"/>
      <w:r w:rsidRPr="003F568C">
        <w:t>situativity</w:t>
      </w:r>
      <w:proofErr w:type="spellEnd"/>
      <w:r w:rsidRPr="003F568C">
        <w:t xml:space="preserve"> of knowing, learning, and research.</w:t>
      </w:r>
      <w:proofErr w:type="gramEnd"/>
      <w:r w:rsidRPr="003F568C">
        <w:t xml:space="preserve"> </w:t>
      </w:r>
      <w:proofErr w:type="gramStart"/>
      <w:r w:rsidRPr="003F568C">
        <w:rPr>
          <w:i/>
        </w:rPr>
        <w:t>American Psychologist, 53</w:t>
      </w:r>
      <w:r w:rsidRPr="003F568C">
        <w:t>(1), 5-26.</w:t>
      </w:r>
      <w:proofErr w:type="gramEnd"/>
    </w:p>
    <w:p w14:paraId="4AE14575" w14:textId="77777777" w:rsidR="007E1990" w:rsidRPr="003F568C" w:rsidRDefault="007E1990" w:rsidP="0030337B">
      <w:pPr>
        <w:spacing w:before="120" w:line="276" w:lineRule="auto"/>
        <w:ind w:left="357" w:hanging="357"/>
      </w:pPr>
      <w:r w:rsidRPr="003F568C">
        <w:t xml:space="preserve">Bransford, J.D., Brown, A.L., &amp; Cocking, R.R. (Eds.) (1999).  </w:t>
      </w:r>
      <w:r w:rsidRPr="003F568C">
        <w:rPr>
          <w:i/>
        </w:rPr>
        <w:t>How People Learn: Brain, Mind, Experience, and School</w:t>
      </w:r>
      <w:r w:rsidRPr="003F568C">
        <w:t>. Washington, DC: National Academy Press.</w:t>
      </w:r>
    </w:p>
    <w:p w14:paraId="3F326AF4" w14:textId="77777777" w:rsidR="007E1990" w:rsidRPr="003F568C" w:rsidRDefault="007E1990" w:rsidP="0030337B">
      <w:pPr>
        <w:widowControl w:val="0"/>
        <w:autoSpaceDE w:val="0"/>
        <w:autoSpaceDN w:val="0"/>
        <w:adjustRightInd w:val="0"/>
        <w:spacing w:before="120" w:line="276" w:lineRule="auto"/>
        <w:ind w:left="357" w:hanging="357"/>
        <w:rPr>
          <w:rFonts w:cs="Garamond"/>
        </w:rPr>
      </w:pPr>
      <w:r w:rsidRPr="003F568C">
        <w:rPr>
          <w:rFonts w:cs="Garamond"/>
        </w:rPr>
        <w:t xml:space="preserve">Vygotsky, L.S., 1978. </w:t>
      </w:r>
      <w:r w:rsidRPr="003F568C">
        <w:rPr>
          <w:rFonts w:cs="Garamond"/>
          <w:i/>
          <w:iCs/>
        </w:rPr>
        <w:t>Mind in Society: The Development of the Higher Psychological Processes</w:t>
      </w:r>
      <w:r w:rsidRPr="003F568C">
        <w:rPr>
          <w:rFonts w:cs="Garamond"/>
        </w:rPr>
        <w:t>.</w:t>
      </w:r>
      <w:r w:rsidRPr="003F568C">
        <w:rPr>
          <w:rFonts w:cs="Times"/>
        </w:rPr>
        <w:t xml:space="preserve"> </w:t>
      </w:r>
      <w:r w:rsidRPr="003F568C">
        <w:rPr>
          <w:rFonts w:cs="Garamond"/>
        </w:rPr>
        <w:t>Cambridge, MA: The Harvard University Press. (Originally published 1930,</w:t>
      </w:r>
      <w:r w:rsidRPr="003F568C">
        <w:rPr>
          <w:rFonts w:cs="Times"/>
        </w:rPr>
        <w:t xml:space="preserve"> </w:t>
      </w:r>
      <w:r w:rsidRPr="003F568C">
        <w:rPr>
          <w:rFonts w:cs="Garamond"/>
        </w:rPr>
        <w:t>New York: Oxford University Press.)</w:t>
      </w:r>
    </w:p>
    <w:p w14:paraId="0C3DD721" w14:textId="77777777" w:rsidR="007E1990" w:rsidRPr="003F568C" w:rsidRDefault="007E1990" w:rsidP="0030337B">
      <w:pPr>
        <w:widowControl w:val="0"/>
        <w:autoSpaceDE w:val="0"/>
        <w:autoSpaceDN w:val="0"/>
        <w:adjustRightInd w:val="0"/>
        <w:spacing w:before="120" w:line="276" w:lineRule="auto"/>
        <w:ind w:left="357" w:hanging="357"/>
        <w:rPr>
          <w:rFonts w:cs="Times"/>
        </w:rPr>
      </w:pPr>
      <w:r w:rsidRPr="003F568C">
        <w:rPr>
          <w:rFonts w:cs="Times"/>
        </w:rPr>
        <w:t xml:space="preserve">Beichner, R.J., Saul, J.M., Abbott, D.S., Morse, J.J., </w:t>
      </w:r>
      <w:proofErr w:type="spellStart"/>
      <w:r w:rsidRPr="003F568C">
        <w:rPr>
          <w:rFonts w:cs="Times"/>
        </w:rPr>
        <w:t>Deardorff</w:t>
      </w:r>
      <w:proofErr w:type="spellEnd"/>
      <w:r w:rsidRPr="003F568C">
        <w:rPr>
          <w:rFonts w:cs="Times"/>
        </w:rPr>
        <w:t xml:space="preserve">, D.L., </w:t>
      </w:r>
      <w:proofErr w:type="spellStart"/>
      <w:r w:rsidRPr="003F568C">
        <w:rPr>
          <w:rFonts w:cs="Times"/>
        </w:rPr>
        <w:t>Allain</w:t>
      </w:r>
      <w:proofErr w:type="spellEnd"/>
      <w:r w:rsidRPr="003F568C">
        <w:rPr>
          <w:rFonts w:cs="Times"/>
        </w:rPr>
        <w:t xml:space="preserve">, R.J., Bonham, S.W., </w:t>
      </w:r>
      <w:proofErr w:type="spellStart"/>
      <w:r w:rsidRPr="003F568C">
        <w:rPr>
          <w:rFonts w:cs="Times"/>
        </w:rPr>
        <w:t>Dancy</w:t>
      </w:r>
      <w:proofErr w:type="spellEnd"/>
      <w:r w:rsidRPr="003F568C">
        <w:rPr>
          <w:rFonts w:cs="Times"/>
        </w:rPr>
        <w:t xml:space="preserve">, M.H., &amp; </w:t>
      </w:r>
      <w:proofErr w:type="spellStart"/>
      <w:r w:rsidRPr="003F568C">
        <w:rPr>
          <w:rFonts w:cs="Times"/>
        </w:rPr>
        <w:t>Risley</w:t>
      </w:r>
      <w:proofErr w:type="spellEnd"/>
      <w:r w:rsidRPr="003F568C">
        <w:rPr>
          <w:rFonts w:cs="Times"/>
        </w:rPr>
        <w:t xml:space="preserve">, J.S. 2007. The Student-Centered Activities for Large </w:t>
      </w:r>
      <w:proofErr w:type="spellStart"/>
      <w:r w:rsidRPr="003F568C">
        <w:rPr>
          <w:rFonts w:cs="Times"/>
        </w:rPr>
        <w:t>Enrollment</w:t>
      </w:r>
      <w:proofErr w:type="spellEnd"/>
      <w:r w:rsidRPr="003F568C">
        <w:rPr>
          <w:rFonts w:cs="Times"/>
        </w:rPr>
        <w:t xml:space="preserve"> Undergraduate Programs (SCALE-UP) project. In E. Redish (Ed.)</w:t>
      </w:r>
      <w:r w:rsidRPr="003F568C">
        <w:rPr>
          <w:rFonts w:cs="Times"/>
          <w:i/>
        </w:rPr>
        <w:t xml:space="preserve"> Research-based reform of introductory physics</w:t>
      </w:r>
      <w:r w:rsidRPr="003F568C">
        <w:rPr>
          <w:rFonts w:cs="Times"/>
        </w:rPr>
        <w:t>. Available online by searching PER Central at www.compadre.org/per</w:t>
      </w:r>
      <w:r w:rsidRPr="003F568C">
        <w:rPr>
          <w:rFonts w:cs="Times"/>
        </w:rPr>
        <w:pgNum/>
      </w:r>
    </w:p>
    <w:p w14:paraId="3B72C137" w14:textId="77777777" w:rsidR="007E1990" w:rsidRPr="003F568C" w:rsidRDefault="007E1990" w:rsidP="0030337B">
      <w:pPr>
        <w:pStyle w:val="References"/>
        <w:spacing w:before="120" w:line="276" w:lineRule="auto"/>
        <w:ind w:left="357" w:hanging="357"/>
        <w:rPr>
          <w:rFonts w:asciiTheme="minorHAnsi" w:hAnsiTheme="minorHAnsi"/>
          <w:noProof/>
          <w:szCs w:val="24"/>
        </w:rPr>
      </w:pPr>
      <w:r w:rsidRPr="003F568C">
        <w:rPr>
          <w:rFonts w:asciiTheme="minorHAnsi" w:hAnsiTheme="minorHAnsi"/>
          <w:noProof/>
          <w:szCs w:val="24"/>
        </w:rPr>
        <w:t xml:space="preserve">Mazur, E. (1997). </w:t>
      </w:r>
      <w:r w:rsidRPr="003F568C">
        <w:rPr>
          <w:rFonts w:asciiTheme="minorHAnsi" w:hAnsiTheme="minorHAnsi"/>
          <w:i/>
          <w:noProof/>
          <w:szCs w:val="24"/>
        </w:rPr>
        <w:t>Peer instruction: a user's manual</w:t>
      </w:r>
      <w:r w:rsidRPr="003F568C">
        <w:rPr>
          <w:rFonts w:asciiTheme="minorHAnsi" w:hAnsiTheme="minorHAnsi"/>
          <w:noProof/>
          <w:szCs w:val="24"/>
        </w:rPr>
        <w:t>. Upper Saddle River, N.J.: Prentice Hall.</w:t>
      </w:r>
    </w:p>
    <w:p w14:paraId="758EA836" w14:textId="77777777" w:rsidR="007E1990" w:rsidRPr="003F568C" w:rsidRDefault="007E1990" w:rsidP="0030337B">
      <w:pPr>
        <w:spacing w:before="120" w:line="276" w:lineRule="auto"/>
        <w:ind w:left="357" w:hanging="357"/>
        <w:rPr>
          <w:rFonts w:cs="Cambria"/>
        </w:rPr>
      </w:pPr>
      <w:r w:rsidRPr="003F568C">
        <w:t xml:space="preserve">Charles, E., </w:t>
      </w:r>
      <w:proofErr w:type="spellStart"/>
      <w:r w:rsidRPr="003F568C">
        <w:t>Lasry</w:t>
      </w:r>
      <w:proofErr w:type="spellEnd"/>
      <w:r w:rsidRPr="003F568C">
        <w:t>, N., &amp; Whittaker, C. (2012).</w:t>
      </w:r>
      <w:r w:rsidRPr="003F568C">
        <w:rPr>
          <w:rFonts w:cs="Arial-BoldMT"/>
          <w:bCs/>
        </w:rPr>
        <w:t xml:space="preserve"> </w:t>
      </w:r>
      <w:r w:rsidRPr="003F568C">
        <w:rPr>
          <w:i/>
        </w:rPr>
        <w:t>Redesigning Classroom Learning Spaces: When technology meets pedagogy and when they clash</w:t>
      </w:r>
      <w:r w:rsidRPr="003F568C">
        <w:t xml:space="preserve">. </w:t>
      </w:r>
      <w:proofErr w:type="gramStart"/>
      <w:r w:rsidRPr="003F568C">
        <w:rPr>
          <w:rFonts w:cs="Cambria"/>
        </w:rPr>
        <w:t>van</w:t>
      </w:r>
      <w:proofErr w:type="gramEnd"/>
      <w:r w:rsidRPr="003F568C">
        <w:rPr>
          <w:rFonts w:cs="Cambria"/>
        </w:rPr>
        <w:t xml:space="preserve"> Aalst, J., Thompson, K., Jacobson, M. J., &amp; </w:t>
      </w:r>
      <w:proofErr w:type="spellStart"/>
      <w:r w:rsidRPr="003F568C">
        <w:rPr>
          <w:rFonts w:cs="Cambria"/>
        </w:rPr>
        <w:t>Reimann</w:t>
      </w:r>
      <w:proofErr w:type="spellEnd"/>
      <w:r w:rsidRPr="003F568C">
        <w:rPr>
          <w:rFonts w:cs="Cambria"/>
        </w:rPr>
        <w:t xml:space="preserve">, P. (Eds.) (2012). </w:t>
      </w:r>
      <w:r w:rsidRPr="003F568C">
        <w:rPr>
          <w:rFonts w:cs="Cambria"/>
          <w:i/>
          <w:iCs/>
        </w:rPr>
        <w:t>The Future of Learning: Proceedings of the 10th International Conference of</w:t>
      </w:r>
      <w:r w:rsidRPr="003F568C">
        <w:rPr>
          <w:rFonts w:cs="Cambria"/>
        </w:rPr>
        <w:t xml:space="preserve"> </w:t>
      </w:r>
      <w:r w:rsidRPr="003F568C">
        <w:rPr>
          <w:rFonts w:cs="Cambria"/>
          <w:i/>
          <w:iCs/>
        </w:rPr>
        <w:t xml:space="preserve">the Learning Sciences (ICLS 2012) – Volume 2. </w:t>
      </w:r>
      <w:proofErr w:type="gramStart"/>
      <w:r w:rsidRPr="003F568C">
        <w:rPr>
          <w:rFonts w:cs="Cambria"/>
          <w:i/>
          <w:iCs/>
        </w:rPr>
        <w:t>pp</w:t>
      </w:r>
      <w:proofErr w:type="gramEnd"/>
      <w:r w:rsidRPr="003F568C">
        <w:rPr>
          <w:rFonts w:cs="Cambria"/>
          <w:i/>
          <w:iCs/>
        </w:rPr>
        <w:t xml:space="preserve">. 207-211. </w:t>
      </w:r>
      <w:r w:rsidRPr="003F568C">
        <w:rPr>
          <w:rFonts w:cs="Cambria"/>
        </w:rPr>
        <w:t>International Society of the Learning Sciences: Sydney, NSW, Australia.</w:t>
      </w:r>
    </w:p>
    <w:p w14:paraId="091BBAB2" w14:textId="77777777" w:rsidR="007E1990" w:rsidRPr="003F568C" w:rsidRDefault="007E1990" w:rsidP="0030337B">
      <w:pPr>
        <w:spacing w:before="120" w:line="276" w:lineRule="auto"/>
        <w:ind w:left="357" w:hanging="357"/>
        <w:rPr>
          <w:rFonts w:eastAsia="Times New Roman" w:cs="Times New Roman"/>
          <w:lang w:val="en-US"/>
        </w:rPr>
      </w:pPr>
      <w:r w:rsidRPr="0030337B">
        <w:rPr>
          <w:rFonts w:eastAsia="Times New Roman" w:cs="Arial"/>
          <w:bCs/>
          <w:lang w:val="en-US"/>
        </w:rPr>
        <w:t xml:space="preserve">Brooker, R., </w:t>
      </w:r>
      <w:proofErr w:type="spellStart"/>
      <w:r w:rsidRPr="0030337B">
        <w:rPr>
          <w:rFonts w:eastAsia="Times New Roman" w:cs="Arial"/>
          <w:bCs/>
          <w:lang w:val="en-US"/>
        </w:rPr>
        <w:t>Matthes</w:t>
      </w:r>
      <w:proofErr w:type="spellEnd"/>
      <w:r w:rsidRPr="0030337B">
        <w:rPr>
          <w:rFonts w:eastAsia="Times New Roman" w:cs="Arial"/>
          <w:bCs/>
          <w:lang w:val="en-US"/>
        </w:rPr>
        <w:t xml:space="preserve">, D. Wright, R., </w:t>
      </w:r>
      <w:proofErr w:type="spellStart"/>
      <w:r w:rsidRPr="0030337B">
        <w:rPr>
          <w:rFonts w:eastAsia="Times New Roman" w:cs="Arial"/>
          <w:bCs/>
          <w:lang w:val="en-US"/>
        </w:rPr>
        <w:t>Wassenburg</w:t>
      </w:r>
      <w:proofErr w:type="spellEnd"/>
      <w:r w:rsidRPr="0030337B">
        <w:rPr>
          <w:rFonts w:eastAsia="Times New Roman" w:cs="Arial"/>
          <w:bCs/>
          <w:lang w:val="en-US"/>
        </w:rPr>
        <w:t xml:space="preserve">, D., Wick, S., Couch B. (2013). </w:t>
      </w:r>
      <w:proofErr w:type="gramStart"/>
      <w:r w:rsidRPr="0030337B">
        <w:rPr>
          <w:rFonts w:eastAsia="Times New Roman" w:cs="Arial"/>
          <w:bCs/>
          <w:lang w:val="en-US"/>
        </w:rPr>
        <w:t>SCALE-UP in a Large Introductory Biology Course.</w:t>
      </w:r>
      <w:proofErr w:type="gramEnd"/>
      <w:r w:rsidRPr="0030337B">
        <w:rPr>
          <w:rFonts w:eastAsia="Times New Roman" w:cs="Arial"/>
          <w:bCs/>
          <w:lang w:val="en-US"/>
        </w:rPr>
        <w:t xml:space="preserve"> In </w:t>
      </w:r>
      <w:r w:rsidRPr="0030337B">
        <w:rPr>
          <w:rFonts w:eastAsia="Times New Roman" w:cs="Times New Roman"/>
          <w:shd w:val="clear" w:color="auto" w:fill="FFFFFF"/>
          <w:lang w:val="en-US"/>
        </w:rPr>
        <w:t xml:space="preserve">Tricia A. </w:t>
      </w:r>
      <w:proofErr w:type="spellStart"/>
      <w:r w:rsidRPr="0030337B">
        <w:rPr>
          <w:rFonts w:eastAsia="Times New Roman" w:cs="Times New Roman"/>
          <w:shd w:val="clear" w:color="auto" w:fill="FFFFFF"/>
          <w:lang w:val="en-US"/>
        </w:rPr>
        <w:t>Ferrett</w:t>
      </w:r>
      <w:proofErr w:type="spellEnd"/>
      <w:r w:rsidRPr="0030337B">
        <w:rPr>
          <w:rFonts w:eastAsia="Times New Roman" w:cs="Times New Roman"/>
          <w:shd w:val="clear" w:color="auto" w:fill="FFFFFF"/>
          <w:lang w:val="en-US"/>
        </w:rPr>
        <w:t xml:space="preserve">. </w:t>
      </w:r>
      <w:proofErr w:type="gramStart"/>
      <w:r w:rsidRPr="0030337B">
        <w:rPr>
          <w:rFonts w:eastAsia="Times New Roman" w:cs="Times New Roman"/>
          <w:shd w:val="clear" w:color="auto" w:fill="FFFFFF"/>
          <w:lang w:val="en-US"/>
        </w:rPr>
        <w:t>and</w:t>
      </w:r>
      <w:proofErr w:type="gramEnd"/>
      <w:r w:rsidRPr="0030337B">
        <w:rPr>
          <w:rFonts w:eastAsia="Times New Roman" w:cs="Times New Roman"/>
          <w:shd w:val="clear" w:color="auto" w:fill="FFFFFF"/>
          <w:lang w:val="en-US"/>
        </w:rPr>
        <w:t xml:space="preserve"> David R. </w:t>
      </w:r>
      <w:proofErr w:type="spellStart"/>
      <w:r w:rsidRPr="0030337B">
        <w:rPr>
          <w:rFonts w:eastAsia="Times New Roman" w:cs="Times New Roman"/>
          <w:shd w:val="clear" w:color="auto" w:fill="FFFFFF"/>
          <w:lang w:val="en-US"/>
        </w:rPr>
        <w:t>Geelan</w:t>
      </w:r>
      <w:proofErr w:type="spellEnd"/>
      <w:r w:rsidRPr="0030337B">
        <w:rPr>
          <w:rFonts w:eastAsia="Times New Roman" w:cs="Times New Roman"/>
          <w:shd w:val="clear" w:color="auto" w:fill="FFFFFF"/>
          <w:lang w:val="en-US"/>
        </w:rPr>
        <w:t xml:space="preserve">. </w:t>
      </w:r>
      <w:proofErr w:type="gramStart"/>
      <w:r w:rsidRPr="0030337B">
        <w:rPr>
          <w:rFonts w:eastAsia="Times New Roman" w:cs="Times New Roman"/>
          <w:shd w:val="clear" w:color="auto" w:fill="FFFFFF"/>
          <w:lang w:val="en-US"/>
        </w:rPr>
        <w:t>and</w:t>
      </w:r>
      <w:proofErr w:type="gramEnd"/>
      <w:r w:rsidRPr="0030337B">
        <w:rPr>
          <w:rFonts w:eastAsia="Times New Roman" w:cs="Times New Roman"/>
          <w:shd w:val="clear" w:color="auto" w:fill="FFFFFF"/>
          <w:lang w:val="en-US"/>
        </w:rPr>
        <w:t xml:space="preserve"> Whitney M. Schlegel. </w:t>
      </w:r>
      <w:proofErr w:type="gramStart"/>
      <w:r w:rsidRPr="0030337B">
        <w:rPr>
          <w:rFonts w:eastAsia="Times New Roman" w:cs="Times New Roman"/>
          <w:shd w:val="clear" w:color="auto" w:fill="FFFFFF"/>
          <w:lang w:val="en-US"/>
        </w:rPr>
        <w:t>and</w:t>
      </w:r>
      <w:proofErr w:type="gramEnd"/>
      <w:r w:rsidRPr="0030337B">
        <w:rPr>
          <w:rFonts w:eastAsia="Times New Roman" w:cs="Times New Roman"/>
          <w:shd w:val="clear" w:color="auto" w:fill="FFFFFF"/>
          <w:lang w:val="en-US"/>
        </w:rPr>
        <w:t xml:space="preserve"> Joanne L. Stewart. </w:t>
      </w:r>
      <w:proofErr w:type="gramStart"/>
      <w:r w:rsidRPr="0030337B">
        <w:rPr>
          <w:rFonts w:eastAsia="Times New Roman" w:cs="Times New Roman"/>
          <w:shd w:val="clear" w:color="auto" w:fill="FFFFFF"/>
          <w:lang w:val="en-US"/>
        </w:rPr>
        <w:t>and</w:t>
      </w:r>
      <w:proofErr w:type="gramEnd"/>
      <w:r w:rsidRPr="0030337B">
        <w:rPr>
          <w:rFonts w:eastAsia="Times New Roman" w:cs="Times New Roman"/>
          <w:shd w:val="clear" w:color="auto" w:fill="FFFFFF"/>
          <w:lang w:val="en-US"/>
        </w:rPr>
        <w:t xml:space="preserve"> Mary Taylor Huber. </w:t>
      </w:r>
      <w:proofErr w:type="gramStart"/>
      <w:r w:rsidRPr="0030337B">
        <w:rPr>
          <w:rFonts w:eastAsia="Times New Roman" w:cs="Times New Roman"/>
          <w:shd w:val="clear" w:color="auto" w:fill="FFFFFF"/>
          <w:lang w:val="en-US"/>
        </w:rPr>
        <w:t>and</w:t>
      </w:r>
      <w:proofErr w:type="gramEnd"/>
      <w:r w:rsidRPr="0030337B">
        <w:rPr>
          <w:rFonts w:eastAsia="Times New Roman" w:cs="Times New Roman"/>
          <w:shd w:val="clear" w:color="auto" w:fill="FFFFFF"/>
          <w:lang w:val="en-US"/>
        </w:rPr>
        <w:t xml:space="preserve"> Pat Hutchings (Editors). </w:t>
      </w:r>
      <w:r w:rsidRPr="0030337B">
        <w:rPr>
          <w:rFonts w:eastAsia="Times New Roman" w:cs="Times New Roman"/>
          <w:i/>
          <w:iCs/>
          <w:shd w:val="clear" w:color="auto" w:fill="FFFFFF"/>
          <w:lang w:val="en-US"/>
        </w:rPr>
        <w:t>Connected Science: Strategies for Integrative Learning in College.</w:t>
      </w:r>
      <w:r w:rsidRPr="0030337B">
        <w:rPr>
          <w:rFonts w:eastAsia="Times New Roman" w:cs="Times New Roman"/>
          <w:shd w:val="clear" w:color="auto" w:fill="FFFFFF"/>
          <w:lang w:val="en-US"/>
        </w:rPr>
        <w:t xml:space="preserve"> Bloomington: Indiana University Press. </w:t>
      </w:r>
      <w:r w:rsidRPr="0030337B">
        <w:rPr>
          <w:rFonts w:eastAsia="Times New Roman" w:cs="Times New Roman"/>
          <w:i/>
          <w:iCs/>
          <w:shd w:val="clear" w:color="auto" w:fill="FFFFFF"/>
          <w:lang w:val="en-US"/>
        </w:rPr>
        <w:t>Project MUSE</w:t>
      </w:r>
      <w:r w:rsidRPr="0030337B">
        <w:rPr>
          <w:rFonts w:eastAsia="Times New Roman" w:cs="Times New Roman"/>
          <w:shd w:val="clear" w:color="auto" w:fill="FFFFFF"/>
          <w:lang w:val="en-US"/>
        </w:rPr>
        <w:t xml:space="preserve">. Web. </w:t>
      </w:r>
      <w:proofErr w:type="gramStart"/>
      <w:r w:rsidRPr="0030337B">
        <w:rPr>
          <w:rFonts w:eastAsia="Times New Roman" w:cs="Times New Roman"/>
          <w:shd w:val="clear" w:color="auto" w:fill="FFFFFF"/>
          <w:lang w:val="en-US"/>
        </w:rPr>
        <w:t>15 Sep. 2013.</w:t>
      </w:r>
      <w:proofErr w:type="gramEnd"/>
      <w:r w:rsidRPr="0030337B">
        <w:rPr>
          <w:rFonts w:eastAsia="Times New Roman" w:cs="Times New Roman"/>
          <w:shd w:val="clear" w:color="auto" w:fill="FFFFFF"/>
          <w:lang w:val="en-US"/>
        </w:rPr>
        <w:t xml:space="preserve"> &lt;http://muse.jhu.edu/&gt;.</w:t>
      </w:r>
    </w:p>
    <w:p w14:paraId="206E5CB7" w14:textId="05B8A29B" w:rsidR="00BA0F49" w:rsidRPr="003F568C" w:rsidRDefault="00BA0F49" w:rsidP="0030337B">
      <w:pPr>
        <w:widowControl w:val="0"/>
        <w:autoSpaceDE w:val="0"/>
        <w:autoSpaceDN w:val="0"/>
        <w:adjustRightInd w:val="0"/>
        <w:spacing w:before="120" w:line="276" w:lineRule="auto"/>
        <w:ind w:left="357" w:hanging="357"/>
        <w:rPr>
          <w:rFonts w:cs="Times New Roman"/>
        </w:rPr>
      </w:pPr>
      <w:r w:rsidRPr="003F568C">
        <w:rPr>
          <w:rFonts w:cs="Times New Roman"/>
        </w:rPr>
        <w:t xml:space="preserve">Dillenbourg, P., &amp; Jermann, P. (pre-publication draft 2013). </w:t>
      </w:r>
      <w:proofErr w:type="gramStart"/>
      <w:r w:rsidRPr="003F568C">
        <w:rPr>
          <w:rFonts w:cs="Times New Roman"/>
          <w:bCs/>
        </w:rPr>
        <w:t>Technology for classroom orchestration.</w:t>
      </w:r>
      <w:proofErr w:type="gramEnd"/>
      <w:r w:rsidRPr="003F568C">
        <w:rPr>
          <w:rFonts w:cs="Times New Roman"/>
          <w:bCs/>
        </w:rPr>
        <w:t xml:space="preserve"> </w:t>
      </w:r>
      <w:r w:rsidRPr="003F568C">
        <w:rPr>
          <w:rFonts w:cs="Times New Roman"/>
          <w:iCs/>
        </w:rPr>
        <w:t xml:space="preserve">M. S </w:t>
      </w:r>
      <w:proofErr w:type="spellStart"/>
      <w:r w:rsidRPr="003F568C">
        <w:rPr>
          <w:rFonts w:cs="Times New Roman"/>
          <w:iCs/>
        </w:rPr>
        <w:t>Khine</w:t>
      </w:r>
      <w:proofErr w:type="spellEnd"/>
      <w:r w:rsidRPr="003F568C">
        <w:rPr>
          <w:rFonts w:cs="Times New Roman"/>
          <w:iCs/>
        </w:rPr>
        <w:t xml:space="preserve"> and I. M. </w:t>
      </w:r>
      <w:proofErr w:type="spellStart"/>
      <w:r w:rsidRPr="003F568C">
        <w:rPr>
          <w:rFonts w:cs="Times New Roman"/>
          <w:iCs/>
        </w:rPr>
        <w:t>Saleh</w:t>
      </w:r>
      <w:proofErr w:type="spellEnd"/>
      <w:r w:rsidRPr="003F568C">
        <w:rPr>
          <w:rFonts w:cs="Times New Roman"/>
          <w:iCs/>
        </w:rPr>
        <w:t xml:space="preserve"> (</w:t>
      </w:r>
      <w:proofErr w:type="spellStart"/>
      <w:r w:rsidRPr="003F568C">
        <w:rPr>
          <w:rFonts w:cs="Times New Roman"/>
          <w:iCs/>
        </w:rPr>
        <w:t>Eds</w:t>
      </w:r>
      <w:proofErr w:type="spellEnd"/>
      <w:r w:rsidRPr="003F568C">
        <w:rPr>
          <w:rFonts w:cs="Times New Roman"/>
          <w:iCs/>
        </w:rPr>
        <w:t xml:space="preserve">) </w:t>
      </w:r>
      <w:r w:rsidRPr="003F568C">
        <w:rPr>
          <w:rFonts w:cs="Times New Roman"/>
          <w:i/>
          <w:iCs/>
        </w:rPr>
        <w:t>New Science of Learning: Cognition, Computers</w:t>
      </w:r>
      <w:r w:rsidR="009F08EF" w:rsidRPr="003F568C">
        <w:rPr>
          <w:rFonts w:cs="Times New Roman"/>
          <w:i/>
          <w:iCs/>
        </w:rPr>
        <w:t xml:space="preserve"> and Collaboration in Education</w:t>
      </w:r>
      <w:r w:rsidRPr="003F568C">
        <w:rPr>
          <w:rFonts w:cs="Times New Roman"/>
          <w:i/>
          <w:iCs/>
        </w:rPr>
        <w:t xml:space="preserve">. </w:t>
      </w:r>
      <w:r w:rsidRPr="003F568C">
        <w:rPr>
          <w:rFonts w:cs="Times New Roman"/>
          <w:iCs/>
        </w:rPr>
        <w:t>Springer</w:t>
      </w:r>
      <w:r w:rsidRPr="003F568C">
        <w:rPr>
          <w:rFonts w:cs="Times New Roman"/>
          <w:i/>
          <w:iCs/>
        </w:rPr>
        <w:t>.</w:t>
      </w:r>
    </w:p>
    <w:p w14:paraId="339AB910" w14:textId="77777777" w:rsidR="007E1990" w:rsidRPr="0030337B" w:rsidRDefault="007E1990" w:rsidP="0030337B">
      <w:pPr>
        <w:pStyle w:val="References"/>
        <w:spacing w:before="120" w:line="276" w:lineRule="auto"/>
        <w:ind w:left="357" w:hanging="357"/>
        <w:rPr>
          <w:rFonts w:asciiTheme="minorHAnsi" w:hAnsiTheme="minorHAnsi" w:cs="Geneva"/>
          <w:szCs w:val="24"/>
        </w:rPr>
      </w:pPr>
      <w:r w:rsidRPr="0030337B">
        <w:rPr>
          <w:rFonts w:asciiTheme="minorHAnsi" w:hAnsiTheme="minorHAnsi" w:cs="Geneva"/>
          <w:szCs w:val="24"/>
        </w:rPr>
        <w:t xml:space="preserve">Dori, Y. &amp; Belcher, J. (2004). How does technology-enabled active learning affect undergraduate students understanding of electromagnetism concepts? </w:t>
      </w:r>
      <w:proofErr w:type="gramStart"/>
      <w:r w:rsidRPr="0030337B">
        <w:rPr>
          <w:rFonts w:asciiTheme="minorHAnsi" w:hAnsiTheme="minorHAnsi" w:cs="Geneva"/>
          <w:i/>
          <w:szCs w:val="24"/>
        </w:rPr>
        <w:t>The Journal of the Learning Sciences</w:t>
      </w:r>
      <w:r w:rsidRPr="0030337B">
        <w:rPr>
          <w:rFonts w:asciiTheme="minorHAnsi" w:hAnsiTheme="minorHAnsi" w:cs="Geneva"/>
          <w:szCs w:val="24"/>
        </w:rPr>
        <w:t xml:space="preserve">, </w:t>
      </w:r>
      <w:r w:rsidRPr="0030337B">
        <w:rPr>
          <w:rFonts w:asciiTheme="minorHAnsi" w:hAnsiTheme="minorHAnsi" w:cs="Geneva"/>
          <w:i/>
          <w:szCs w:val="24"/>
        </w:rPr>
        <w:t>14</w:t>
      </w:r>
      <w:r w:rsidRPr="0030337B">
        <w:rPr>
          <w:rFonts w:asciiTheme="minorHAnsi" w:hAnsiTheme="minorHAnsi" w:cs="Geneva"/>
          <w:szCs w:val="24"/>
        </w:rPr>
        <w:t>(2).</w:t>
      </w:r>
      <w:proofErr w:type="gramEnd"/>
    </w:p>
    <w:p w14:paraId="392F1E7B" w14:textId="11C80A15" w:rsidR="001F41FF" w:rsidRPr="0030337B" w:rsidRDefault="001F41FF" w:rsidP="0030337B">
      <w:pPr>
        <w:pStyle w:val="Heading1"/>
        <w:shd w:val="clear" w:color="auto" w:fill="FFFFFF"/>
        <w:spacing w:before="120" w:beforeAutospacing="0" w:after="0" w:afterAutospacing="0" w:line="276" w:lineRule="auto"/>
        <w:ind w:left="357" w:hanging="357"/>
        <w:textAlignment w:val="baseline"/>
        <w:rPr>
          <w:rFonts w:asciiTheme="minorHAnsi" w:hAnsiTheme="minorHAnsi"/>
          <w:sz w:val="24"/>
          <w:szCs w:val="24"/>
        </w:rPr>
      </w:pPr>
      <w:proofErr w:type="gramStart"/>
      <w:r w:rsidRPr="003F568C">
        <w:rPr>
          <w:rFonts w:asciiTheme="minorHAnsi" w:hAnsiTheme="minorHAnsi"/>
          <w:b w:val="0"/>
          <w:sz w:val="24"/>
          <w:szCs w:val="24"/>
        </w:rPr>
        <w:t>Kollar, I., Fischer, F., &amp; Slotta, J.D. (2007).</w:t>
      </w:r>
      <w:proofErr w:type="gramEnd"/>
      <w:r w:rsidRPr="003F568C">
        <w:rPr>
          <w:rFonts w:asciiTheme="minorHAnsi" w:hAnsiTheme="minorHAnsi"/>
          <w:b w:val="0"/>
          <w:sz w:val="24"/>
          <w:szCs w:val="24"/>
        </w:rPr>
        <w:t xml:space="preserve"> </w:t>
      </w:r>
      <w:proofErr w:type="gramStart"/>
      <w:r w:rsidRPr="0030337B">
        <w:rPr>
          <w:rFonts w:asciiTheme="minorHAnsi" w:eastAsia="Arial Unicode MS" w:hAnsiTheme="minorHAnsi" w:cs="Arial Unicode MS"/>
          <w:b w:val="0"/>
          <w:sz w:val="24"/>
          <w:szCs w:val="24"/>
        </w:rPr>
        <w:t>Internal and external scripts in computer-supported collaborative inquiry learning.</w:t>
      </w:r>
      <w:proofErr w:type="gramEnd"/>
      <w:r w:rsidRPr="0030337B">
        <w:rPr>
          <w:rFonts w:asciiTheme="minorHAnsi" w:eastAsia="Arial Unicode MS" w:hAnsiTheme="minorHAnsi" w:cs="Arial Unicode MS"/>
          <w:b w:val="0"/>
          <w:sz w:val="24"/>
          <w:szCs w:val="24"/>
        </w:rPr>
        <w:t xml:space="preserve"> </w:t>
      </w:r>
      <w:r w:rsidRPr="0030337B">
        <w:rPr>
          <w:rFonts w:asciiTheme="minorHAnsi" w:eastAsia="Arial Unicode MS" w:hAnsiTheme="minorHAnsi" w:cs="Arial Unicode MS"/>
          <w:b w:val="0"/>
          <w:i/>
          <w:sz w:val="24"/>
          <w:szCs w:val="24"/>
        </w:rPr>
        <w:t>Learning and Instruction</w:t>
      </w:r>
      <w:r w:rsidRPr="0030337B">
        <w:rPr>
          <w:rFonts w:asciiTheme="minorHAnsi" w:eastAsia="Arial Unicode MS" w:hAnsiTheme="minorHAnsi" w:cs="Arial Unicode MS"/>
          <w:b w:val="0"/>
          <w:sz w:val="24"/>
          <w:szCs w:val="24"/>
        </w:rPr>
        <w:t>, 17(6), 708-721.</w:t>
      </w:r>
    </w:p>
    <w:sectPr w:rsidR="001F41FF" w:rsidRPr="0030337B" w:rsidSect="008E317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D06C9B" w14:textId="77777777" w:rsidR="003954F9" w:rsidRDefault="003954F9" w:rsidP="00090310">
      <w:r>
        <w:separator/>
      </w:r>
    </w:p>
  </w:endnote>
  <w:endnote w:type="continuationSeparator" w:id="0">
    <w:p w14:paraId="7B64FD35" w14:textId="77777777" w:rsidR="003954F9" w:rsidRDefault="003954F9" w:rsidP="00090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BoldMT">
    <w:altName w:val="Arial"/>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eneva">
    <w:panose1 w:val="020B0503030404040204"/>
    <w:charset w:val="00"/>
    <w:family w:val="auto"/>
    <w:pitch w:val="variable"/>
    <w:sig w:usb0="00000007" w:usb1="00000000" w:usb2="00000000" w:usb3="00000000" w:csb0="00000093"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1CE864" w14:textId="77777777" w:rsidR="003954F9" w:rsidRDefault="003954F9" w:rsidP="00090310">
      <w:r>
        <w:separator/>
      </w:r>
    </w:p>
  </w:footnote>
  <w:footnote w:type="continuationSeparator" w:id="0">
    <w:p w14:paraId="70740217" w14:textId="77777777" w:rsidR="003954F9" w:rsidRDefault="003954F9" w:rsidP="0009031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33A10"/>
    <w:multiLevelType w:val="hybridMultilevel"/>
    <w:tmpl w:val="520E3CB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
    <w:nsid w:val="0EC82EDD"/>
    <w:multiLevelType w:val="hybridMultilevel"/>
    <w:tmpl w:val="08A0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E45B4D"/>
    <w:multiLevelType w:val="hybridMultilevel"/>
    <w:tmpl w:val="9EE2D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701E8D"/>
    <w:multiLevelType w:val="hybridMultilevel"/>
    <w:tmpl w:val="A2C4E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F97"/>
    <w:rsid w:val="00000010"/>
    <w:rsid w:val="000121D9"/>
    <w:rsid w:val="00015008"/>
    <w:rsid w:val="00015521"/>
    <w:rsid w:val="00047463"/>
    <w:rsid w:val="00090310"/>
    <w:rsid w:val="000B5734"/>
    <w:rsid w:val="000F75FF"/>
    <w:rsid w:val="0010140A"/>
    <w:rsid w:val="00101924"/>
    <w:rsid w:val="00105F7C"/>
    <w:rsid w:val="00120E13"/>
    <w:rsid w:val="001467F9"/>
    <w:rsid w:val="00146E87"/>
    <w:rsid w:val="001E62F2"/>
    <w:rsid w:val="001F41FF"/>
    <w:rsid w:val="002366E7"/>
    <w:rsid w:val="002576AF"/>
    <w:rsid w:val="00273725"/>
    <w:rsid w:val="00296CA8"/>
    <w:rsid w:val="002A0352"/>
    <w:rsid w:val="002D045D"/>
    <w:rsid w:val="0030337B"/>
    <w:rsid w:val="00366010"/>
    <w:rsid w:val="0038508E"/>
    <w:rsid w:val="003954F9"/>
    <w:rsid w:val="003962F6"/>
    <w:rsid w:val="00396400"/>
    <w:rsid w:val="003A16CB"/>
    <w:rsid w:val="003C229F"/>
    <w:rsid w:val="003C3589"/>
    <w:rsid w:val="003D2063"/>
    <w:rsid w:val="003D4EBC"/>
    <w:rsid w:val="003E1850"/>
    <w:rsid w:val="003F568C"/>
    <w:rsid w:val="00400990"/>
    <w:rsid w:val="004115D2"/>
    <w:rsid w:val="00445AC8"/>
    <w:rsid w:val="00477703"/>
    <w:rsid w:val="00493A98"/>
    <w:rsid w:val="004D79B2"/>
    <w:rsid w:val="004F214A"/>
    <w:rsid w:val="005056E0"/>
    <w:rsid w:val="00542EFA"/>
    <w:rsid w:val="00587DBF"/>
    <w:rsid w:val="00593533"/>
    <w:rsid w:val="005D0AD3"/>
    <w:rsid w:val="005E293F"/>
    <w:rsid w:val="005F0904"/>
    <w:rsid w:val="00621ED4"/>
    <w:rsid w:val="006418EB"/>
    <w:rsid w:val="0064400F"/>
    <w:rsid w:val="006A0782"/>
    <w:rsid w:val="006A0801"/>
    <w:rsid w:val="006C7C46"/>
    <w:rsid w:val="006E7833"/>
    <w:rsid w:val="00737210"/>
    <w:rsid w:val="007605E1"/>
    <w:rsid w:val="0078480A"/>
    <w:rsid w:val="00791708"/>
    <w:rsid w:val="007C562A"/>
    <w:rsid w:val="007D5142"/>
    <w:rsid w:val="007E1990"/>
    <w:rsid w:val="007F1626"/>
    <w:rsid w:val="007F2DD0"/>
    <w:rsid w:val="00802D88"/>
    <w:rsid w:val="00806A1B"/>
    <w:rsid w:val="008147FC"/>
    <w:rsid w:val="0083452F"/>
    <w:rsid w:val="00834FE8"/>
    <w:rsid w:val="00857F97"/>
    <w:rsid w:val="00870CF1"/>
    <w:rsid w:val="008E3177"/>
    <w:rsid w:val="00911B05"/>
    <w:rsid w:val="009173E6"/>
    <w:rsid w:val="0096508D"/>
    <w:rsid w:val="00983C05"/>
    <w:rsid w:val="009A571B"/>
    <w:rsid w:val="009C17EE"/>
    <w:rsid w:val="009F08EF"/>
    <w:rsid w:val="00A105CC"/>
    <w:rsid w:val="00A15F79"/>
    <w:rsid w:val="00A25570"/>
    <w:rsid w:val="00A309D9"/>
    <w:rsid w:val="00AC724E"/>
    <w:rsid w:val="00B14E4D"/>
    <w:rsid w:val="00B44449"/>
    <w:rsid w:val="00B83E62"/>
    <w:rsid w:val="00BA0F49"/>
    <w:rsid w:val="00BE757F"/>
    <w:rsid w:val="00C12B41"/>
    <w:rsid w:val="00C3088B"/>
    <w:rsid w:val="00C5361D"/>
    <w:rsid w:val="00C73DDC"/>
    <w:rsid w:val="00C80C4F"/>
    <w:rsid w:val="00C87991"/>
    <w:rsid w:val="00CC2462"/>
    <w:rsid w:val="00CD7FCA"/>
    <w:rsid w:val="00CF3486"/>
    <w:rsid w:val="00D111E0"/>
    <w:rsid w:val="00D42BA6"/>
    <w:rsid w:val="00D518BB"/>
    <w:rsid w:val="00D72445"/>
    <w:rsid w:val="00DA5DEA"/>
    <w:rsid w:val="00DB5534"/>
    <w:rsid w:val="00DE0CF0"/>
    <w:rsid w:val="00DE1982"/>
    <w:rsid w:val="00DF3FAD"/>
    <w:rsid w:val="00E05961"/>
    <w:rsid w:val="00E07484"/>
    <w:rsid w:val="00E225F2"/>
    <w:rsid w:val="00E34736"/>
    <w:rsid w:val="00EA65CF"/>
    <w:rsid w:val="00EB5E4F"/>
    <w:rsid w:val="00EF014C"/>
    <w:rsid w:val="00F02479"/>
    <w:rsid w:val="00F12353"/>
    <w:rsid w:val="00F37D51"/>
    <w:rsid w:val="00F53221"/>
    <w:rsid w:val="00FA4B9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E1F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1">
    <w:name w:val="heading 1"/>
    <w:basedOn w:val="Normal"/>
    <w:link w:val="Heading1Char"/>
    <w:uiPriority w:val="9"/>
    <w:qFormat/>
    <w:rsid w:val="001F41FF"/>
    <w:pPr>
      <w:spacing w:before="100" w:beforeAutospacing="1" w:after="100" w:afterAutospacing="1"/>
      <w:outlineLvl w:val="0"/>
    </w:pPr>
    <w:rPr>
      <w:rFonts w:ascii="Times" w:hAnsi="Times"/>
      <w:b/>
      <w:bCs/>
      <w:kern w:val="36"/>
      <w:sz w:val="48"/>
      <w:szCs w:val="4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62F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2F2"/>
    <w:rPr>
      <w:rFonts w:ascii="Lucida Grande" w:hAnsi="Lucida Grande" w:cs="Lucida Grande"/>
      <w:sz w:val="18"/>
      <w:szCs w:val="18"/>
      <w:lang w:val="en-CA"/>
    </w:rPr>
  </w:style>
  <w:style w:type="character" w:styleId="CommentReference">
    <w:name w:val="annotation reference"/>
    <w:basedOn w:val="DefaultParagraphFont"/>
    <w:uiPriority w:val="99"/>
    <w:semiHidden/>
    <w:unhideWhenUsed/>
    <w:rsid w:val="001E62F2"/>
    <w:rPr>
      <w:sz w:val="18"/>
      <w:szCs w:val="18"/>
    </w:rPr>
  </w:style>
  <w:style w:type="paragraph" w:styleId="CommentText">
    <w:name w:val="annotation text"/>
    <w:basedOn w:val="Normal"/>
    <w:link w:val="CommentTextChar"/>
    <w:uiPriority w:val="99"/>
    <w:semiHidden/>
    <w:unhideWhenUsed/>
    <w:rsid w:val="001E62F2"/>
  </w:style>
  <w:style w:type="character" w:customStyle="1" w:styleId="CommentTextChar">
    <w:name w:val="Comment Text Char"/>
    <w:basedOn w:val="DefaultParagraphFont"/>
    <w:link w:val="CommentText"/>
    <w:uiPriority w:val="99"/>
    <w:semiHidden/>
    <w:rsid w:val="001E62F2"/>
    <w:rPr>
      <w:lang w:val="en-CA"/>
    </w:rPr>
  </w:style>
  <w:style w:type="paragraph" w:styleId="CommentSubject">
    <w:name w:val="annotation subject"/>
    <w:basedOn w:val="CommentText"/>
    <w:next w:val="CommentText"/>
    <w:link w:val="CommentSubjectChar"/>
    <w:uiPriority w:val="99"/>
    <w:semiHidden/>
    <w:unhideWhenUsed/>
    <w:rsid w:val="001E62F2"/>
    <w:rPr>
      <w:b/>
      <w:bCs/>
      <w:sz w:val="20"/>
      <w:szCs w:val="20"/>
    </w:rPr>
  </w:style>
  <w:style w:type="character" w:customStyle="1" w:styleId="CommentSubjectChar">
    <w:name w:val="Comment Subject Char"/>
    <w:basedOn w:val="CommentTextChar"/>
    <w:link w:val="CommentSubject"/>
    <w:uiPriority w:val="99"/>
    <w:semiHidden/>
    <w:rsid w:val="001E62F2"/>
    <w:rPr>
      <w:b/>
      <w:bCs/>
      <w:sz w:val="20"/>
      <w:szCs w:val="20"/>
      <w:lang w:val="en-CA"/>
    </w:rPr>
  </w:style>
  <w:style w:type="character" w:styleId="Hyperlink">
    <w:name w:val="Hyperlink"/>
    <w:basedOn w:val="DefaultParagraphFont"/>
    <w:uiPriority w:val="99"/>
    <w:unhideWhenUsed/>
    <w:rsid w:val="00621ED4"/>
    <w:rPr>
      <w:color w:val="0000FF" w:themeColor="hyperlink"/>
      <w:u w:val="single"/>
    </w:rPr>
  </w:style>
  <w:style w:type="character" w:styleId="FollowedHyperlink">
    <w:name w:val="FollowedHyperlink"/>
    <w:basedOn w:val="DefaultParagraphFont"/>
    <w:uiPriority w:val="99"/>
    <w:semiHidden/>
    <w:unhideWhenUsed/>
    <w:rsid w:val="00621ED4"/>
    <w:rPr>
      <w:color w:val="800080" w:themeColor="followedHyperlink"/>
      <w:u w:val="single"/>
    </w:rPr>
  </w:style>
  <w:style w:type="paragraph" w:styleId="ListParagraph">
    <w:name w:val="List Paragraph"/>
    <w:basedOn w:val="Normal"/>
    <w:uiPriority w:val="34"/>
    <w:qFormat/>
    <w:rsid w:val="00B83E62"/>
    <w:pPr>
      <w:ind w:left="720"/>
      <w:contextualSpacing/>
    </w:pPr>
  </w:style>
  <w:style w:type="paragraph" w:styleId="FootnoteText">
    <w:name w:val="footnote text"/>
    <w:basedOn w:val="Normal"/>
    <w:link w:val="FootnoteTextChar"/>
    <w:uiPriority w:val="99"/>
    <w:unhideWhenUsed/>
    <w:rsid w:val="00090310"/>
  </w:style>
  <w:style w:type="character" w:customStyle="1" w:styleId="FootnoteTextChar">
    <w:name w:val="Footnote Text Char"/>
    <w:basedOn w:val="DefaultParagraphFont"/>
    <w:link w:val="FootnoteText"/>
    <w:uiPriority w:val="99"/>
    <w:rsid w:val="00090310"/>
    <w:rPr>
      <w:lang w:val="en-CA"/>
    </w:rPr>
  </w:style>
  <w:style w:type="character" w:styleId="FootnoteReference">
    <w:name w:val="footnote reference"/>
    <w:basedOn w:val="DefaultParagraphFont"/>
    <w:uiPriority w:val="99"/>
    <w:unhideWhenUsed/>
    <w:rsid w:val="00090310"/>
    <w:rPr>
      <w:vertAlign w:val="superscript"/>
    </w:rPr>
  </w:style>
  <w:style w:type="paragraph" w:customStyle="1" w:styleId="StyleReferencesLeft0Firstline0">
    <w:name w:val="Style References + Left:  0&quot; First line:  0&quot;"/>
    <w:basedOn w:val="Normal"/>
    <w:rsid w:val="007E1990"/>
    <w:pPr>
      <w:spacing w:after="120"/>
      <w:ind w:left="720" w:hanging="720"/>
      <w:jc w:val="both"/>
    </w:pPr>
    <w:rPr>
      <w:rFonts w:ascii="Times New Roman" w:eastAsia="Times New Roman" w:hAnsi="Times New Roman" w:cs="Times New Roman"/>
      <w:szCs w:val="20"/>
      <w:lang w:val="en-US"/>
    </w:rPr>
  </w:style>
  <w:style w:type="paragraph" w:customStyle="1" w:styleId="References">
    <w:name w:val="References"/>
    <w:basedOn w:val="Normal"/>
    <w:rsid w:val="007E1990"/>
    <w:pPr>
      <w:autoSpaceDE w:val="0"/>
      <w:autoSpaceDN w:val="0"/>
      <w:adjustRightInd w:val="0"/>
      <w:ind w:left="720" w:hanging="720"/>
      <w:jc w:val="both"/>
    </w:pPr>
    <w:rPr>
      <w:rFonts w:ascii="Times New Roman" w:eastAsia="Times New Roman" w:hAnsi="Times New Roman" w:cs="Times New Roman"/>
      <w:szCs w:val="20"/>
      <w:lang w:val="en-US"/>
    </w:rPr>
  </w:style>
  <w:style w:type="character" w:customStyle="1" w:styleId="Heading1Char">
    <w:name w:val="Heading 1 Char"/>
    <w:basedOn w:val="DefaultParagraphFont"/>
    <w:link w:val="Heading1"/>
    <w:uiPriority w:val="9"/>
    <w:rsid w:val="001F41FF"/>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1">
    <w:name w:val="heading 1"/>
    <w:basedOn w:val="Normal"/>
    <w:link w:val="Heading1Char"/>
    <w:uiPriority w:val="9"/>
    <w:qFormat/>
    <w:rsid w:val="001F41FF"/>
    <w:pPr>
      <w:spacing w:before="100" w:beforeAutospacing="1" w:after="100" w:afterAutospacing="1"/>
      <w:outlineLvl w:val="0"/>
    </w:pPr>
    <w:rPr>
      <w:rFonts w:ascii="Times" w:hAnsi="Times"/>
      <w:b/>
      <w:bCs/>
      <w:kern w:val="36"/>
      <w:sz w:val="48"/>
      <w:szCs w:val="4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62F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2F2"/>
    <w:rPr>
      <w:rFonts w:ascii="Lucida Grande" w:hAnsi="Lucida Grande" w:cs="Lucida Grande"/>
      <w:sz w:val="18"/>
      <w:szCs w:val="18"/>
      <w:lang w:val="en-CA"/>
    </w:rPr>
  </w:style>
  <w:style w:type="character" w:styleId="CommentReference">
    <w:name w:val="annotation reference"/>
    <w:basedOn w:val="DefaultParagraphFont"/>
    <w:uiPriority w:val="99"/>
    <w:semiHidden/>
    <w:unhideWhenUsed/>
    <w:rsid w:val="001E62F2"/>
    <w:rPr>
      <w:sz w:val="18"/>
      <w:szCs w:val="18"/>
    </w:rPr>
  </w:style>
  <w:style w:type="paragraph" w:styleId="CommentText">
    <w:name w:val="annotation text"/>
    <w:basedOn w:val="Normal"/>
    <w:link w:val="CommentTextChar"/>
    <w:uiPriority w:val="99"/>
    <w:semiHidden/>
    <w:unhideWhenUsed/>
    <w:rsid w:val="001E62F2"/>
  </w:style>
  <w:style w:type="character" w:customStyle="1" w:styleId="CommentTextChar">
    <w:name w:val="Comment Text Char"/>
    <w:basedOn w:val="DefaultParagraphFont"/>
    <w:link w:val="CommentText"/>
    <w:uiPriority w:val="99"/>
    <w:semiHidden/>
    <w:rsid w:val="001E62F2"/>
    <w:rPr>
      <w:lang w:val="en-CA"/>
    </w:rPr>
  </w:style>
  <w:style w:type="paragraph" w:styleId="CommentSubject">
    <w:name w:val="annotation subject"/>
    <w:basedOn w:val="CommentText"/>
    <w:next w:val="CommentText"/>
    <w:link w:val="CommentSubjectChar"/>
    <w:uiPriority w:val="99"/>
    <w:semiHidden/>
    <w:unhideWhenUsed/>
    <w:rsid w:val="001E62F2"/>
    <w:rPr>
      <w:b/>
      <w:bCs/>
      <w:sz w:val="20"/>
      <w:szCs w:val="20"/>
    </w:rPr>
  </w:style>
  <w:style w:type="character" w:customStyle="1" w:styleId="CommentSubjectChar">
    <w:name w:val="Comment Subject Char"/>
    <w:basedOn w:val="CommentTextChar"/>
    <w:link w:val="CommentSubject"/>
    <w:uiPriority w:val="99"/>
    <w:semiHidden/>
    <w:rsid w:val="001E62F2"/>
    <w:rPr>
      <w:b/>
      <w:bCs/>
      <w:sz w:val="20"/>
      <w:szCs w:val="20"/>
      <w:lang w:val="en-CA"/>
    </w:rPr>
  </w:style>
  <w:style w:type="character" w:styleId="Hyperlink">
    <w:name w:val="Hyperlink"/>
    <w:basedOn w:val="DefaultParagraphFont"/>
    <w:uiPriority w:val="99"/>
    <w:unhideWhenUsed/>
    <w:rsid w:val="00621ED4"/>
    <w:rPr>
      <w:color w:val="0000FF" w:themeColor="hyperlink"/>
      <w:u w:val="single"/>
    </w:rPr>
  </w:style>
  <w:style w:type="character" w:styleId="FollowedHyperlink">
    <w:name w:val="FollowedHyperlink"/>
    <w:basedOn w:val="DefaultParagraphFont"/>
    <w:uiPriority w:val="99"/>
    <w:semiHidden/>
    <w:unhideWhenUsed/>
    <w:rsid w:val="00621ED4"/>
    <w:rPr>
      <w:color w:val="800080" w:themeColor="followedHyperlink"/>
      <w:u w:val="single"/>
    </w:rPr>
  </w:style>
  <w:style w:type="paragraph" w:styleId="ListParagraph">
    <w:name w:val="List Paragraph"/>
    <w:basedOn w:val="Normal"/>
    <w:uiPriority w:val="34"/>
    <w:qFormat/>
    <w:rsid w:val="00B83E62"/>
    <w:pPr>
      <w:ind w:left="720"/>
      <w:contextualSpacing/>
    </w:pPr>
  </w:style>
  <w:style w:type="paragraph" w:styleId="FootnoteText">
    <w:name w:val="footnote text"/>
    <w:basedOn w:val="Normal"/>
    <w:link w:val="FootnoteTextChar"/>
    <w:uiPriority w:val="99"/>
    <w:unhideWhenUsed/>
    <w:rsid w:val="00090310"/>
  </w:style>
  <w:style w:type="character" w:customStyle="1" w:styleId="FootnoteTextChar">
    <w:name w:val="Footnote Text Char"/>
    <w:basedOn w:val="DefaultParagraphFont"/>
    <w:link w:val="FootnoteText"/>
    <w:uiPriority w:val="99"/>
    <w:rsid w:val="00090310"/>
    <w:rPr>
      <w:lang w:val="en-CA"/>
    </w:rPr>
  </w:style>
  <w:style w:type="character" w:styleId="FootnoteReference">
    <w:name w:val="footnote reference"/>
    <w:basedOn w:val="DefaultParagraphFont"/>
    <w:uiPriority w:val="99"/>
    <w:unhideWhenUsed/>
    <w:rsid w:val="00090310"/>
    <w:rPr>
      <w:vertAlign w:val="superscript"/>
    </w:rPr>
  </w:style>
  <w:style w:type="paragraph" w:customStyle="1" w:styleId="StyleReferencesLeft0Firstline0">
    <w:name w:val="Style References + Left:  0&quot; First line:  0&quot;"/>
    <w:basedOn w:val="Normal"/>
    <w:rsid w:val="007E1990"/>
    <w:pPr>
      <w:spacing w:after="120"/>
      <w:ind w:left="720" w:hanging="720"/>
      <w:jc w:val="both"/>
    </w:pPr>
    <w:rPr>
      <w:rFonts w:ascii="Times New Roman" w:eastAsia="Times New Roman" w:hAnsi="Times New Roman" w:cs="Times New Roman"/>
      <w:szCs w:val="20"/>
      <w:lang w:val="en-US"/>
    </w:rPr>
  </w:style>
  <w:style w:type="paragraph" w:customStyle="1" w:styleId="References">
    <w:name w:val="References"/>
    <w:basedOn w:val="Normal"/>
    <w:rsid w:val="007E1990"/>
    <w:pPr>
      <w:autoSpaceDE w:val="0"/>
      <w:autoSpaceDN w:val="0"/>
      <w:adjustRightInd w:val="0"/>
      <w:ind w:left="720" w:hanging="720"/>
      <w:jc w:val="both"/>
    </w:pPr>
    <w:rPr>
      <w:rFonts w:ascii="Times New Roman" w:eastAsia="Times New Roman" w:hAnsi="Times New Roman" w:cs="Times New Roman"/>
      <w:szCs w:val="20"/>
      <w:lang w:val="en-US"/>
    </w:rPr>
  </w:style>
  <w:style w:type="character" w:customStyle="1" w:styleId="Heading1Char">
    <w:name w:val="Heading 1 Char"/>
    <w:basedOn w:val="DefaultParagraphFont"/>
    <w:link w:val="Heading1"/>
    <w:uiPriority w:val="9"/>
    <w:rsid w:val="001F41FF"/>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1624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marttech.com/smartboard" TargetMode="Externa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6" Type="http://schemas.openxmlformats.org/officeDocument/2006/relationships/footnotes" Target="footnotes.xml"/><Relationship Id="rId11" Type="http://schemas.openxmlformats.org/officeDocument/2006/relationships/theme" Target="theme/theme1.xml"/><Relationship Id="rId1" Type="http://schemas.openxmlformats.org/officeDocument/2006/relationships/numbering" Target="numbering.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24C27054B5D54E9E1933BE866FB5E3" ma:contentTypeVersion="10" ma:contentTypeDescription="Create a new document." ma:contentTypeScope="" ma:versionID="443576b37466d81b2322940b8498d251">
  <xsd:schema xmlns:xsd="http://www.w3.org/2001/XMLSchema" xmlns:xs="http://www.w3.org/2001/XMLSchema" xmlns:p="http://schemas.microsoft.com/office/2006/metadata/properties" xmlns:ns2="71861b24-b415-456e-a26d-5aef2b40d2e6" xmlns:ns3="7ae1ac60-2497-46de-9905-266debe4c85c" targetNamespace="http://schemas.microsoft.com/office/2006/metadata/properties" ma:root="true" ma:fieldsID="d57dc141913eb3e3b89dbeb2dfdc706c" ns2:_="" ns3:_="">
    <xsd:import namespace="71861b24-b415-456e-a26d-5aef2b40d2e6"/>
    <xsd:import namespace="7ae1ac60-2497-46de-9905-266debe4c85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861b24-b415-456e-a26d-5aef2b40d2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fab896fa-f975-4241-972e-2e922d8f5790"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e1ac60-2497-46de-9905-266debe4c85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8e44e57-73a8-4d90-a99b-1ccacf197e45}" ma:internalName="TaxCatchAll" ma:showField="CatchAllData" ma:web="7ae1ac60-2497-46de-9905-266debe4c8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1861b24-b415-456e-a26d-5aef2b40d2e6">
      <Terms xmlns="http://schemas.microsoft.com/office/infopath/2007/PartnerControls"/>
    </lcf76f155ced4ddcb4097134ff3c332f>
    <TaxCatchAll xmlns="7ae1ac60-2497-46de-9905-266debe4c85c" xsi:nil="true"/>
  </documentManagement>
</p:properties>
</file>

<file path=customXml/itemProps1.xml><?xml version="1.0" encoding="utf-8"?>
<ds:datastoreItem xmlns:ds="http://schemas.openxmlformats.org/officeDocument/2006/customXml" ds:itemID="{44E13C58-53D7-4E34-B229-441640D92CC6}"/>
</file>

<file path=customXml/itemProps2.xml><?xml version="1.0" encoding="utf-8"?>
<ds:datastoreItem xmlns:ds="http://schemas.openxmlformats.org/officeDocument/2006/customXml" ds:itemID="{77BE5E08-6043-4894-9053-F7624CE498CC}"/>
</file>

<file path=customXml/itemProps3.xml><?xml version="1.0" encoding="utf-8"?>
<ds:datastoreItem xmlns:ds="http://schemas.openxmlformats.org/officeDocument/2006/customXml" ds:itemID="{421D1520-7E3D-4509-AD65-71E6710F70CA}"/>
</file>

<file path=docProps/app.xml><?xml version="1.0" encoding="utf-8"?>
<Properties xmlns="http://schemas.openxmlformats.org/officeDocument/2006/extended-properties" xmlns:vt="http://schemas.openxmlformats.org/officeDocument/2006/docPropsVTypes">
  <Template>Normal.dotm</Template>
  <TotalTime>73</TotalTime>
  <Pages>6</Pages>
  <Words>1969</Words>
  <Characters>11229</Characters>
  <Application>Microsoft Macintosh Word</Application>
  <DocSecurity>0</DocSecurity>
  <Lines>93</Lines>
  <Paragraphs>26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Kollar, I., Fischer, F., &amp; Slotta, J.D. (2007). Internal and external scripts in</vt:lpstr>
    </vt:vector>
  </TitlesOfParts>
  <Company>Dawson College</Company>
  <LinksUpToDate>false</LinksUpToDate>
  <CharactersWithSpaces>13172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whittaker</dc:creator>
  <cp:keywords/>
  <dc:description/>
  <cp:lastModifiedBy>Admin</cp:lastModifiedBy>
  <cp:revision>5</cp:revision>
  <dcterms:created xsi:type="dcterms:W3CDTF">2013-12-11T17:29:00Z</dcterms:created>
  <dcterms:modified xsi:type="dcterms:W3CDTF">2013-12-11T18:55:00Z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0x0101008F24C27054B5D54E9E1933BE866FB5E3</vt:lpwstr>
  </property>
</Properties>
</file>