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ind w:firstLine="0"/>
        <w:jc w:val="left"/>
      </w:pPr>
      <w:r>
        <w:rPr>
          <w:b/>
          <w:sz w:val="28"/>
        </w:rPr>
        <w:t>УДК 81'322.2:82.09</w:t>
      </w:r>
    </w:p>
    <w:p>
      <w:pPr>
        <w:spacing w:line="240" w:lineRule="auto" w:after="200"/>
        <w:ind w:firstLine="0"/>
        <w:jc w:val="center"/>
      </w:pPr>
      <w:r>
        <w:rPr>
          <w:b/>
          <w:sz w:val="28"/>
        </w:rPr>
        <w:t>МЕТОДОЛОГИЯ АВТОМАТИЧЕСКОГО ОБНАРУЖЕНИЯ ИНТЕРТЕКСТУАЛЬНЫХ СВЯЗЕЙ ПРИ НЕПОЛНОМ ЭТАЛОНЕ: ДВУХЭТАПНЫЙ ПОИСК КАНДИДАТОВ И ПРОТОКОЛ КАЛИБРОВКИ</w:t>
      </w:r>
    </w:p>
    <w:p>
      <w:pPr>
        <w:spacing w:line="240" w:lineRule="auto" w:after="40"/>
        <w:ind w:firstLine="0"/>
        <w:jc w:val="center"/>
      </w:pPr>
      <w:r>
        <w:rPr>
          <w:b/>
          <w:sz w:val="28"/>
        </w:rPr>
        <w:t>[Фамилия И. О. автора]</w:t>
      </w:r>
    </w:p>
    <w:p>
      <w:pPr>
        <w:spacing w:line="240" w:lineRule="auto" w:after="240"/>
        <w:ind w:firstLine="0"/>
        <w:jc w:val="center"/>
      </w:pPr>
      <w:r>
        <w:rPr>
          <w:i/>
          <w:sz w:val="24"/>
        </w:rPr>
        <w:t>[Организация, город, страна]; [e-mail]; [ORCID]</w:t>
      </w:r>
    </w:p>
    <w:p>
      <w:pPr>
        <w:spacing w:line="240" w:lineRule="auto" w:after="40"/>
        <w:ind w:firstLine="0"/>
        <w:jc w:val="left"/>
      </w:pPr>
      <w:r>
        <w:rPr>
          <w:b/>
        </w:rPr>
        <w:t>Аннотация.</w:t>
      </w:r>
    </w:p>
    <w:p>
      <w:pPr>
        <w:spacing w:line="240" w:lineRule="auto" w:after="120"/>
        <w:ind w:firstLine="0"/>
      </w:pPr>
      <w:r>
        <w:rPr>
          <w:sz w:val="24"/>
        </w:rPr>
        <w:t>Рассматривается методология обнаружения интертекстуальных связей (цитат, реминисценций, аллюзий) между художественным текстом и текстом-источником при условии, что единственным эталоном служит комментарий исследователя. Дан обзор зарубежных и российских работ: вычислительная традиция проекта Tesserae, исследования повторного использования текста, эмбеддинги и большие языковые модели за рубежом; теоретическая и комментаторская традиция, корпусные инструменты и первые автоматические поиски цитат в российской науке. На данных открытого репозитория Intertext описаны конвейер из двенадцати скореров с объединением по предложениям и семишаговый протокол калибровки. Материал: роман «Преступление и наказание» и Синодальная Библия (64 места по комментарию Б. Н. Тихомирова) как исходный случай и пять материалов проверки (Мильтон, Баньян, «Евгений Онегин», «Двенадцать стульев»; английский и русский языки). На исходном случае длина абзаца предсказывает эталон (AUC 0,871) лучше любого из трёх слоёв признаков (0,759–0,839); потолок полноты лексического и синтаксического слоёв равен 0,11 и 0,34; замена единицы сопоставления с абзаца на предложение и увеличение шортлиста плотного слоя с 20 до 1000 кандидатов повышают полноту с 39 до 48 %. Протокол выявил дефекты эталона (от 15 до 62 % записей отсылают к фону или случайны) и показал убывание выигрыша над плацебо с 5,6 до 0,03 при снижении дословности связи. Языковая модель в роли судьи не различила верные источники и наиболее правдоподобные неверные (0,52 против 0,53). Сформулированы условия применимости результатов.</w:t>
      </w:r>
    </w:p>
    <w:p>
      <w:pPr>
        <w:spacing w:line="240" w:lineRule="auto" w:after="280"/>
        <w:ind w:firstLine="0"/>
      </w:pPr>
      <w:r>
        <w:rPr>
          <w:sz w:val="24"/>
        </w:rPr>
        <w:t>Ключевые слова: интертекстуальность; текстовые заимствования; поиск цитат и аллюзий; эталон; калибровка; ранжирование; плацебо-контроль; компьютерный анализ литературы.</w:t>
      </w:r>
    </w:p>
    <w:p>
      <w:pPr>
        <w:spacing w:line="240" w:lineRule="auto" w:after="160"/>
        <w:ind w:firstLine="0"/>
        <w:jc w:val="center"/>
      </w:pPr>
      <w:r>
        <w:rPr>
          <w:b/>
          <w:sz w:val="28"/>
        </w:rPr>
        <w:t>METHODOLOGY FOR AUTOMATIC DETECTION OF INTERTEXTUAL LINKS WITH AN INCOMPLETE GOLD STANDARD: TWO-STAGE CANDIDATE RETRIEVAL AND A CALIBRATION PROTOCOL</w:t>
      </w:r>
    </w:p>
    <w:p>
      <w:pPr>
        <w:spacing w:line="240" w:lineRule="auto" w:after="40"/>
        <w:ind w:firstLine="0"/>
        <w:jc w:val="center"/>
      </w:pPr>
      <w:r>
        <w:rPr>
          <w:b/>
          <w:sz w:val="28"/>
        </w:rPr>
        <w:t>[Author's name]</w:t>
      </w:r>
    </w:p>
    <w:p>
      <w:pPr>
        <w:spacing w:line="240" w:lineRule="auto" w:after="200"/>
        <w:ind w:firstLine="0"/>
        <w:jc w:val="center"/>
      </w:pPr>
      <w:r>
        <w:rPr>
          <w:i/>
          <w:sz w:val="24"/>
        </w:rPr>
        <w:t>[Affiliation, city, country]</w:t>
      </w:r>
    </w:p>
    <w:p>
      <w:pPr>
        <w:spacing w:line="240" w:lineRule="auto" w:after="40"/>
        <w:ind w:firstLine="0"/>
        <w:jc w:val="left"/>
      </w:pPr>
      <w:r>
        <w:rPr>
          <w:b/>
        </w:rPr>
        <w:t>Abstract.</w:t>
      </w:r>
    </w:p>
    <w:p>
      <w:pPr>
        <w:spacing w:line="240" w:lineRule="auto" w:after="120"/>
        <w:ind w:firstLine="0"/>
      </w:pPr>
      <w:r>
        <w:rPr>
          <w:sz w:val="24"/>
        </w:rPr>
        <w:t>The paper considers a methodology for detecting intertextual links (quotations, reminiscences, allusions) between a literary text and a source text when the only available gold standard is a scholar's commentary. A review of foreign and Russian research is given: the computational tradition of the Tesserae project, studies of text reuse, embeddings and large language models abroad; the theoretical and commentary tradition, corpus tools and first automatic quotation searches in Russian scholarship. Using data from the open Intertext repository, we describe a pipeline of twelve scorers with sentence-level fusion and a seven-step calibration protocol. The material comprises Dostoevsky's «Crime and Punishment» against the Synodal Bible (64 places documented in B. N. Tikhomirov's commentary) as the original case, and five transfer materials (Milton, Bunyan, «Eugene Onegin», «The Twelve Chairs»; English and Russian). In the original case, paragraph length predicts the gold standard (AUC 0.871) better than any of three feature layers (0.759–0.839); the recall ceilings of the lexical and syntactic layers are 0.11 and 0.34; switching the matching unit from paragraph to sentence and enlarging the dense layer's shortlist from 20 to 1000 candidates raises recall from 39 to 48%. The protocol revealed gold-standard defects (15 to 62% of records point to background or are accidental) and showed the gain over a placebo falling from 5.6 to 0.03 as the literalness of the link decreases. A language model used as a judge did not distinguish correct sources from the most plausible incorrect ones (0.52 versus 0.53). Conditions of applicability are formulated.</w:t>
      </w:r>
    </w:p>
    <w:p>
      <w:pPr>
        <w:spacing w:line="240" w:lineRule="auto" w:after="200"/>
        <w:ind w:firstLine="0"/>
      </w:pPr>
      <w:r>
        <w:rPr>
          <w:sz w:val="24"/>
        </w:rPr>
        <w:t>Keywords: intertextuality; text reuse; quotation and allusion detection; gold standard; calibration; ranking; placebo control; computational literary studies.</w:t>
      </w:r>
    </w:p>
    <w:p>
      <w:pPr>
        <w:pStyle w:val="Heading1"/>
      </w:pPr>
      <w:r>
        <w:t>ВВЕДЕНИЕ</w:t>
      </w:r>
    </w:p>
    <w:p>
      <w:r>
        <w:t>Обнаружение интертекстуальных связей, то есть цитат, реминисценций и аллюзий, которыми один текст отсылает к другому, традиционно решается чтением и комментированием. Комментарий Ю. М. Лотмана к «Евгению Онегину» [1], комментарий Ю. К. Щеглова к романам Ильфа и Петрова [2] и книга Б. Н. Тихомирова о библейских подтекстах «Преступления и наказания» [3] фиксируют накопленный результат такого чтения. Вычислительные методы обещают распространить его на корпуса, которые никто не комментировал. Вместе с этим обещанием возникает вопрос проверки: как установить, находит ли метод связи или лишь отражает свойства данных.</w:t>
      </w:r>
    </w:p>
    <w:p>
      <w:r>
        <w:t>Проверка осложняется тремя обстоятельствами. Во-первых, эталон, построенный по комментарию, неполон по построению: комментатор отмечает часть связей, а часть записей отсылает к тематическому фону, и строки источника за ней нет. Во-вторых, на оценку влияют свойства данных, например длина фрагмента: длинные абзацы чаще содержат отмеченное заимствование, и любой признак, растущий с длиной, получает завышенную оценку. В-третьих, конвейер из нескольких этапов способен выдавать правдоподобные числа при скрытом дефекте, который не приводит ни к ошибке, ни к предупреждению.</w:t>
      </w:r>
    </w:p>
    <w:p>
      <w:r>
        <w:t>Цель работы: описать методологию обнаружения интертекстуальных связей при неполном эталоне и показать, какие её элементы сохраняют силу при переносе между материалами. Задачи: (1) сопоставить положение области в зарубежной и российской науке; (2) описать материал и данные репозитория Intertext; (3) изложить конвейер поиска кандидатов и семишаговый протокол калибровки; (4) привести результаты на исходном случае и на пяти материалах переноса; (5) сформулировать условия применимости. Новизна состоит в протоколе, выведенном из зарегистрированных дефектов конкретного исследования и проверенном на материалах двух языков, а также в количественном описании того, как выигрыш метода зависит от дословности связи.</w:t>
      </w:r>
    </w:p>
    <w:p>
      <w:pPr>
        <w:pStyle w:val="Heading1"/>
      </w:pPr>
      <w:r>
        <w:t>1. ОБЗОР ЛИТЕРАТУРЫ И ПОЛОЖЕНИЕ ОБЛАСТИ</w:t>
      </w:r>
    </w:p>
    <w:p>
      <w:pPr>
        <w:pStyle w:val="Heading2"/>
      </w:pPr>
      <w:r>
        <w:t>1.1. Теоретические основания и операционализация</w:t>
      </w:r>
    </w:p>
    <w:p>
      <w:r>
        <w:t>Термин «интертекстуальность» ввела Ю. Кристева, развивая идею М. М. Бахтина о диалогической природе слова [4, 5]. Ж. Женетт включил его в более широкую систему транстекстуальных отношений и выделил гипертекстуальность как отношение производного текста к предшествующему [6]. М. Риффатер рассматривал интертекст через опознание читателем [7], а С. Хайндс на материале римской поэзии разобрал механизмы, по которым аллюзия опознаётся и интерпретируется [8].</w:t>
      </w:r>
    </w:p>
    <w:p>
      <w:r>
        <w:t>В российской науке понятие развивалось в связи с бахтинской традицией и школой Ю. М. Лотмана. К. Ф. Тарановский разработал понятие подтекста на материале русской поэзии начала XX века [9]; И. П. Смирнов предложил элементы интертекстуального анализа на материале творчества Б. Л. Пастернака [10]; М. Б. Ямпольский развил теорию интертекстуальности на материале кино [11]; Н. А. Фатеева описала разновидности интертекстуальных связей и их роль в организации текста [12]. Отдельную линию образует академический и авторский комментарий: он служит и инструментом, и накопленным реестром найденных связей [1–3].</w:t>
      </w:r>
    </w:p>
    <w:p>
      <w:r>
        <w:t>Для вычислительных задач существенна степень дословности связи. Дословная цитата сохраняет цепочку лемм, парафраз сохраняет часть лексики в изменённом порядке, аллюзия может не иметь общих слов вовсе. От степени дословности зависит, какие признаки способны связь обнаружить, и эта зависимость проходит через всю работу как основная переменная.</w:t>
      </w:r>
    </w:p>
    <w:p>
      <w:pPr>
        <w:pStyle w:val="Heading2"/>
      </w:pPr>
      <w:r>
        <w:t>1.2. Зарубежные вычислительные исследования</w:t>
      </w:r>
    </w:p>
    <w:p>
      <w:r>
        <w:t>Первые вычислительные модели повторного использования текста строились на сопоставлении слов и их последовательностей. Дж. Ли предложил модель повторного использования в древних литературных текстах [13], Д. Бамман и Г. Крейн описали логику поиска текстовых аллюзий [14]. Наиболее известной линией стал проект Tesserae: он сопоставляет последовательности слов двух произведений, учитывает частотность слов и ранжирует найденные параллели [15, 16]. Последующие работы моделировали действия исследователей с помощью усовершенствованного пословного n-граммного сопоставления [17] и добавили сопоставление по смыслу [18].</w:t>
      </w:r>
    </w:p>
    <w:p>
      <w:r>
        <w:t>Параллельно развивалось изучение повторного использования текста в исторических источниках. М. Бюхлер и соавторы обратились к задаче обнаружения повторного использования в исторических текстах [19]; М. Мориц и соавторы разработали подход к недословному повторному использованию и применили его к библейским заимствованиям [20]; Д. Смит, Р. Кордел и Э. Диллон смоделировали распространение перепечаток в американской периодике XIX века [21]. Ж.-Г. Ганасия, П. Глод и А. Дель Лунго реализовали в проекте Phoebus программу обнаружения заимствований и цитат в литературных текстах [22].</w:t>
      </w:r>
    </w:p>
    <w:p>
      <w:r>
        <w:t>Нейросетевая волна принесла эмбеддинги слов и предложений. П. Бёрнс и соавторы построили профиль интертекстуальности в латинской литературе по эмбеддингам слов [23]; Ф. Рименшнайдер и А. Франк обучили трёхъязычную модель предложений для поиска латинских аллюзий на древнегреческую литературу [24]; Б. Либль и М. Бургхардт оценили сочетания эмбеддингов и параметров обработки для поиска цитат из Шекспира в современной прозе [25]. Э. Манхавакас и соавторы показали, что ручное задание запросов заметно повышает качество поиска аллюзий по сравнению с оконной нарезкой, а распределительная семантика даёт умеренный прирост; они же зафиксировали низкое согласие разметчиков о границах запросов [26].</w:t>
      </w:r>
    </w:p>
    <w:p>
      <w:r>
        <w:t>Большие языковые модели исследуются как помощники эксперта. Р. Умфри и соавторы на материале библейского греческого (койне) показали, что модели способны находить новые связи, но хуже справляются с длинными фрагментами и порождают ложные зависимости, поэтому нужен контроль эксперта [27]. Масштаб и инфраструктура области растут: создан бенчмарк Loci Similes для латинской литературы (около 176 тыс. сегментов и 1490 параллелей, проверенных экспертами) [28], исследованы латентные структуры интертекстуальности в корпусе из более чем 12 тыс. французских романов [29], появился обзор количественных подходов [30]. Создание бенчмарка само рассматривается авторами как восполнение пробела [28], а низкое согласие разметчиков [26] указывает на причину этого пробела: связь зависит от интерпретации.</w:t>
      </w:r>
    </w:p>
    <w:p>
      <w:pPr>
        <w:pStyle w:val="Heading2"/>
      </w:pPr>
      <w:r>
        <w:t>1.3. Российские исследования</w:t>
      </w:r>
    </w:p>
    <w:p>
      <w:r>
        <w:t>В российской науке интертекстуальность изучена преимущественно теоретически и комментаторски (раздел 1.1). Вычислительный пласт заметно скромнее. Национальный корпус русского языка с поэтическим подкорпусом даёт инфраструктуру для поиска общих оборотов [31]; корпусные платформы вроде TXM применяются для сопоставления частотных характеристик подкорпусов отдельных авторов [32], но такие работы описывают стиль, и поиска источника конкретного фрагмента в них нет.</w:t>
      </w:r>
    </w:p>
    <w:p>
      <w:r>
        <w:t>Прямое отношение к теме имеют два исследования. Б. В. Орехов автоматически искал цитаты из текстов В. С. Высоцкого в текстах любительских поэтов, публикующих стихи в сети, и выделил прямые цитаты и клишированные фрагменты, общие для обеих групп [33]. Н. Тышкевич обучила классификатор метода опорных векторов на 3000 примерах из словаря литературных цитат и нехудожественных веб-публикаций; классификатор определяет, содержит ли предложение цитату, с точностью 0,86, а границы цитаты с точностью 0,83 [34]. Оба исследования решают задачу обнаружения цитирования. Задача атрибуции источника с оценкой по размеченному набору связей в них не ставится.</w:t>
      </w:r>
    </w:p>
    <w:p>
      <w:r>
        <w:t>Причина читается в состоянии эталонов. Комментарии Ю. М. Лотмана, Ю. К. Щеглова, Б. Н. Тихомирова остаются текстами для чтения и не оформлены как размеченные наборы данных. При подготовке настоящей работы была проверена возможность построить русский эталон автоматически. В комментарии Лотмана библейских ссылок нет, а стихотворные цитаты чужих поэтов приводятся редко; в 1553 заметках академических комментариев к романам Достоевского на сайте Русской виртуальной библиотеки правилу «ср. + автор + цитата» отвечали две заметки; комментарий к собранию сочинений Толстого оказался недоступен. По результатам этого поиска, выполненного в открытых источниках, опубликованного размеченного набора для оценки атрибуции источника на русском материале обнаружено не было. Утверждение ограничено выполненным поиском и не претендует на полноту.</w:t>
      </w:r>
    </w:p>
    <w:p>
      <w:pPr>
        <w:keepNext/>
        <w:spacing w:line="240" w:lineRule="auto" w:after="80" w:before="120"/>
        <w:ind w:firstLine="0"/>
        <w:jc w:val="left"/>
      </w:pPr>
      <w:r>
        <w:rPr>
          <w:sz w:val="24"/>
        </w:rPr>
        <w:t>Таблица 1. Положение области в зарубежной и российской науке (по обзору разделов 1.1–1.3)</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18"/>
        <w:gridCol w:w="3118"/>
        <w:gridCol w:w="3118"/>
      </w:tblGrid>
      <w:tr>
        <w:trPr>
          <w:tblHeader w:val="true"/>
          <w:cantSplit w:val="true"/>
        </w:trPr>
        <w:tc>
          <w:tcPr>
            <w:tcW w:type="dxa" w:w="1757"/>
            <w:shd w:val="clear" w:color="auto" w:fill="E7E7E7"/>
          </w:tcPr>
          <w:p>
            <w:pPr>
              <w:keepNext/>
              <w:spacing w:line="240" w:lineRule="auto"/>
              <w:ind w:firstLine="0"/>
              <w:jc w:val="center"/>
            </w:pPr>
            <w:r/>
            <w:r>
              <w:rPr>
                <w:b/>
                <w:sz w:val="22"/>
              </w:rPr>
              <w:t>Аспект</w:t>
            </w:r>
          </w:p>
        </w:tc>
        <w:tc>
          <w:tcPr>
            <w:tcW w:type="dxa" w:w="3628"/>
            <w:shd w:val="clear" w:color="auto" w:fill="E7E7E7"/>
          </w:tcPr>
          <w:p>
            <w:pPr>
              <w:keepNext/>
              <w:spacing w:line="240" w:lineRule="auto"/>
              <w:ind w:firstLine="0"/>
              <w:jc w:val="center"/>
            </w:pPr>
            <w:r/>
            <w:r>
              <w:rPr>
                <w:b/>
                <w:sz w:val="22"/>
              </w:rPr>
              <w:t>Зарубежная наука</w:t>
            </w:r>
          </w:p>
        </w:tc>
        <w:tc>
          <w:tcPr>
            <w:tcW w:type="dxa" w:w="3402"/>
            <w:shd w:val="clear" w:color="auto" w:fill="E7E7E7"/>
          </w:tcPr>
          <w:p>
            <w:pPr>
              <w:keepNext/>
              <w:spacing w:line="240" w:lineRule="auto"/>
              <w:ind w:firstLine="0"/>
              <w:jc w:val="center"/>
            </w:pPr>
            <w:r/>
            <w:r>
              <w:rPr>
                <w:b/>
                <w:sz w:val="22"/>
              </w:rPr>
              <w:t>Российская наука</w:t>
            </w:r>
          </w:p>
        </w:tc>
      </w:tr>
      <w:tr>
        <w:trPr>
          <w:cantSplit w:val="true"/>
        </w:trPr>
        <w:tc>
          <w:tcPr>
            <w:tcW w:type="dxa" w:w="1757"/>
          </w:tcPr>
          <w:p>
            <w:pPr>
              <w:keepNext/>
              <w:spacing w:line="240" w:lineRule="auto"/>
              <w:ind w:firstLine="0"/>
              <w:jc w:val="left"/>
            </w:pPr>
            <w:r/>
            <w:r>
              <w:rPr>
                <w:b w:val="0"/>
                <w:sz w:val="22"/>
              </w:rPr>
              <w:t>Теоретическая база</w:t>
            </w:r>
          </w:p>
        </w:tc>
        <w:tc>
          <w:tcPr>
            <w:tcW w:type="dxa" w:w="3628"/>
          </w:tcPr>
          <w:p>
            <w:pPr>
              <w:keepNext/>
              <w:spacing w:line="240" w:lineRule="auto"/>
              <w:ind w:firstLine="0"/>
              <w:jc w:val="left"/>
            </w:pPr>
            <w:r/>
            <w:r>
              <w:rPr>
                <w:b w:val="0"/>
                <w:sz w:val="22"/>
              </w:rPr>
              <w:t>Кристева, Женетт, Риффатер, Хайндс [4, 6–8]</w:t>
            </w:r>
          </w:p>
        </w:tc>
        <w:tc>
          <w:tcPr>
            <w:tcW w:type="dxa" w:w="3402"/>
          </w:tcPr>
          <w:p>
            <w:pPr>
              <w:keepNext/>
              <w:spacing w:line="240" w:lineRule="auto"/>
              <w:ind w:firstLine="0"/>
              <w:jc w:val="left"/>
            </w:pPr>
            <w:r/>
            <w:r>
              <w:rPr>
                <w:b w:val="0"/>
                <w:sz w:val="22"/>
              </w:rPr>
              <w:t>Бахтин, Лотман, Тарановский, Смирнов, Ямпольский, Фатеева [5, 9–12]</w:t>
            </w:r>
          </w:p>
        </w:tc>
      </w:tr>
      <w:tr>
        <w:trPr>
          <w:cantSplit w:val="true"/>
        </w:trPr>
        <w:tc>
          <w:tcPr>
            <w:tcW w:type="dxa" w:w="1757"/>
          </w:tcPr>
          <w:p>
            <w:pPr>
              <w:keepNext/>
              <w:spacing w:line="240" w:lineRule="auto"/>
              <w:ind w:firstLine="0"/>
              <w:jc w:val="left"/>
            </w:pPr>
            <w:r/>
            <w:r>
              <w:rPr>
                <w:b w:val="0"/>
                <w:sz w:val="22"/>
              </w:rPr>
              <w:t>Вычислительные инструменты</w:t>
            </w:r>
          </w:p>
        </w:tc>
        <w:tc>
          <w:tcPr>
            <w:tcW w:type="dxa" w:w="3628"/>
          </w:tcPr>
          <w:p>
            <w:pPr>
              <w:keepNext/>
              <w:spacing w:line="240" w:lineRule="auto"/>
              <w:ind w:firstLine="0"/>
              <w:jc w:val="left"/>
            </w:pPr>
            <w:r/>
            <w:r>
              <w:rPr>
                <w:b w:val="0"/>
                <w:sz w:val="22"/>
              </w:rPr>
              <w:t>Tesserae и n-граммные методы, анализ повторного использования текста, эмбеддинги, большие языковые модели [16, 20, 23, 27]</w:t>
            </w:r>
          </w:p>
        </w:tc>
        <w:tc>
          <w:tcPr>
            <w:tcW w:type="dxa" w:w="3402"/>
          </w:tcPr>
          <w:p>
            <w:pPr>
              <w:keepNext/>
              <w:spacing w:line="240" w:lineRule="auto"/>
              <w:ind w:firstLine="0"/>
              <w:jc w:val="left"/>
            </w:pPr>
            <w:r/>
            <w:r>
              <w:rPr>
                <w:b w:val="0"/>
                <w:sz w:val="22"/>
              </w:rPr>
              <w:t>Корпуса и корпусные платформы, поиск цитат и формул [31–34]</w:t>
            </w:r>
          </w:p>
        </w:tc>
      </w:tr>
      <w:tr>
        <w:trPr>
          <w:cantSplit w:val="true"/>
        </w:trPr>
        <w:tc>
          <w:tcPr>
            <w:tcW w:type="dxa" w:w="1757"/>
          </w:tcPr>
          <w:p>
            <w:pPr>
              <w:keepNext/>
              <w:spacing w:line="240" w:lineRule="auto"/>
              <w:ind w:firstLine="0"/>
              <w:jc w:val="left"/>
            </w:pPr>
            <w:r/>
            <w:r>
              <w:rPr>
                <w:b w:val="0"/>
                <w:sz w:val="22"/>
              </w:rPr>
              <w:t>Эталоны</w:t>
            </w:r>
          </w:p>
        </w:tc>
        <w:tc>
          <w:tcPr>
            <w:tcW w:type="dxa" w:w="3628"/>
          </w:tcPr>
          <w:p>
            <w:pPr>
              <w:keepNext/>
              <w:spacing w:line="240" w:lineRule="auto"/>
              <w:ind w:firstLine="0"/>
              <w:jc w:val="left"/>
            </w:pPr>
            <w:r/>
            <w:r>
              <w:rPr>
                <w:b w:val="0"/>
                <w:sz w:val="22"/>
              </w:rPr>
              <w:t>Экспертные наборы разного размера; бенчмарк Loci Similes (1490 параллелей) [28]</w:t>
            </w:r>
          </w:p>
        </w:tc>
        <w:tc>
          <w:tcPr>
            <w:tcW w:type="dxa" w:w="3402"/>
          </w:tcPr>
          <w:p>
            <w:pPr>
              <w:keepNext/>
              <w:spacing w:line="240" w:lineRule="auto"/>
              <w:ind w:firstLine="0"/>
              <w:jc w:val="left"/>
            </w:pPr>
            <w:r/>
            <w:r>
              <w:rPr>
                <w:b w:val="0"/>
                <w:sz w:val="22"/>
              </w:rPr>
              <w:t>Комментарии как тексты (Лотман, Щеглов, Тихомиров); размеченный публичный набор не обнаружен</w:t>
            </w:r>
          </w:p>
        </w:tc>
      </w:tr>
      <w:tr>
        <w:trPr>
          <w:cantSplit w:val="true"/>
        </w:trPr>
        <w:tc>
          <w:tcPr>
            <w:tcW w:type="dxa" w:w="1757"/>
          </w:tcPr>
          <w:p>
            <w:pPr>
              <w:keepNext/>
              <w:spacing w:line="240" w:lineRule="auto"/>
              <w:ind w:firstLine="0"/>
              <w:jc w:val="left"/>
            </w:pPr>
            <w:r/>
            <w:r>
              <w:rPr>
                <w:b w:val="0"/>
                <w:sz w:val="22"/>
              </w:rPr>
              <w:t>Оценка методов</w:t>
            </w:r>
          </w:p>
        </w:tc>
        <w:tc>
          <w:tcPr>
            <w:tcW w:type="dxa" w:w="3628"/>
          </w:tcPr>
          <w:p>
            <w:pPr>
              <w:keepNext/>
              <w:spacing w:line="240" w:lineRule="auto"/>
              <w:ind w:firstLine="0"/>
              <w:jc w:val="left"/>
            </w:pPr>
            <w:r/>
            <w:r>
              <w:rPr>
                <w:b w:val="0"/>
                <w:sz w:val="22"/>
              </w:rPr>
              <w:t>На экспертных наборах; единого стандарта нет; обсуждается согласие разметчиков [26]</w:t>
            </w:r>
          </w:p>
        </w:tc>
        <w:tc>
          <w:tcPr>
            <w:tcW w:type="dxa" w:w="3402"/>
          </w:tcPr>
          <w:p>
            <w:pPr>
              <w:keepNext/>
              <w:spacing w:line="240" w:lineRule="auto"/>
              <w:ind w:firstLine="0"/>
              <w:jc w:val="left"/>
            </w:pPr>
            <w:r/>
            <w:r>
              <w:rPr>
                <w:b w:val="0"/>
                <w:sz w:val="22"/>
              </w:rPr>
              <w:t>Оценка классификатора цитат [34]; оценка атрибуции источника в обследованных работах не найдена</w:t>
            </w:r>
          </w:p>
        </w:tc>
      </w:tr>
      <w:tr>
        <w:trPr>
          <w:cantSplit w:val="true"/>
        </w:trPr>
        <w:tc>
          <w:tcPr>
            <w:tcW w:type="dxa" w:w="1757"/>
          </w:tcPr>
          <w:p>
            <w:pPr>
              <w:spacing w:line="240" w:lineRule="auto"/>
              <w:ind w:firstLine="0"/>
              <w:jc w:val="left"/>
            </w:pPr>
            <w:r/>
            <w:r>
              <w:rPr>
                <w:b w:val="0"/>
                <w:sz w:val="22"/>
              </w:rPr>
              <w:t>Материал</w:t>
            </w:r>
          </w:p>
        </w:tc>
        <w:tc>
          <w:tcPr>
            <w:tcW w:type="dxa" w:w="3628"/>
          </w:tcPr>
          <w:p>
            <w:pPr>
              <w:spacing w:line="240" w:lineRule="auto"/>
              <w:ind w:firstLine="0"/>
              <w:jc w:val="left"/>
            </w:pPr>
            <w:r/>
            <w:r>
              <w:rPr>
                <w:b w:val="0"/>
                <w:sz w:val="22"/>
              </w:rPr>
              <w:t>Латынь, древнегреческий, английский, французский</w:t>
            </w:r>
          </w:p>
        </w:tc>
        <w:tc>
          <w:tcPr>
            <w:tcW w:type="dxa" w:w="3402"/>
          </w:tcPr>
          <w:p>
            <w:pPr>
              <w:spacing w:line="240" w:lineRule="auto"/>
              <w:ind w:firstLine="0"/>
              <w:jc w:val="left"/>
            </w:pPr>
            <w:r/>
            <w:r>
              <w:rPr>
                <w:b w:val="0"/>
                <w:sz w:val="22"/>
              </w:rPr>
              <w:t>Русская проза и поэзия</w:t>
            </w:r>
          </w:p>
        </w:tc>
      </w:tr>
    </w:tbl>
    <w:p>
      <w:pPr>
        <w:spacing w:line="240" w:lineRule="auto" w:after="80"/>
        <w:ind w:firstLine="0"/>
      </w:pPr>
    </w:p>
    <w:p>
      <w:pPr>
        <w:pStyle w:val="Heading2"/>
      </w:pPr>
      <w:r>
        <w:t>1.4. Пробел и постановка</w:t>
      </w:r>
    </w:p>
    <w:p>
      <w:r>
        <w:t>Обзор показывает два пробела. Для русского материала почти нет вычислительных работ, ставящих задачу атрибуции источника и измеряющих её на размеченном наборе. В зарубежных и российских работах отдельные проверки качества оценки (длина фрагмента, надёжность эталона, плацебо-контроль, воспроизводимость) делаются нерегулярно и не собраны в единую процедуру. Настоящая работа заполняет второй пробел описанием протокола и проверкой его на материалах, часть которых русская.</w:t>
      </w:r>
    </w:p>
    <w:p>
      <w:pPr>
        <w:pStyle w:val="Heading1"/>
      </w:pPr>
      <w:r>
        <w:t>2. МАТЕРИАЛ И ДАННЫЕ</w:t>
      </w:r>
    </w:p>
    <w:p>
      <w:pPr>
        <w:pStyle w:val="Heading2"/>
      </w:pPr>
      <w:r>
        <w:t>2.1. Исходный случай</w:t>
      </w:r>
    </w:p>
    <w:p>
      <w:r>
        <w:t>Исходный случай образуют роман Ф. М. Достоевского «Преступление и наказание» (3783 абзаца в разбиении fb2, использованном в конвейере) и Синодальный перевод Библии (31 102 стиха). Эталон построен по книге-комментарию Б. Н. Тихомирова [3]: 64 документированных места (в отдельных версиях эталона 65 записей), приходящихся на 41–46 абзацев в зависимости от версии. Доля абзацев с эталонной записью составляет 1,1 % (41 из 3783), поэтому отбор абзацев по всему роману является задачей редкого события. В 28 случаях из 64 ссылка указывает диапазон стихов, в остальных 36 стих одиночный. Для независимой проверки использованы академические комментарии к «Братьям Карамазовым» (44 места) и к романам «Идиот», «Бесы», «Подросток» (21 место).</w:t>
      </w:r>
    </w:p>
    <w:p>
      <w:pPr>
        <w:pStyle w:val="Heading2"/>
      </w:pPr>
      <w:r>
        <w:t>2.2. Материалы проверки переноса</w:t>
      </w:r>
    </w:p>
    <w:p>
      <w:r>
        <w:t>Для проверки переноса протокола выбраны пять материалов, различающихся языком, типом источника, типом связи и происхождением эталона. Материал A: «Потерянный рай» Мильтона и Библия короля Иакова (KJV), эталон по научным примечаниям Т. Лаксона [35]. Материал B: тот же текст и произведения Вергилия, Гомера, Овидия в переводах, единица источника книга. Материал C: «Путь паломника» Баньяна и KJV, эталон по библейским ссылкам, проставленным самим автором. Материал D: «Евгений Онегин» Пушкина, эталон по комментарию Лотмана [1], источники из PoetryCorpus [36] и строфы самого романа. Материал E: «Двенадцать стульев» Ильфа и Петрова, эталон по комментарию Щеглова [2], источники из Викитеки (11 авторов, около 6900 произведений и глав) и PoetryCorpus. Материалы A и B делят целевой текст и составителя эталона, и это записано в предрегистрации как ограничение независимости. Авторы, чьи права не истекли, в источники не включались; тексты комментариев в репозиторий не помещены, хранятся только места, ссылки и короткие заголовки записей.</w:t>
      </w:r>
    </w:p>
    <w:p>
      <w:pPr>
        <w:keepNext/>
        <w:spacing w:line="240" w:lineRule="auto" w:after="80" w:before="120"/>
        <w:ind w:firstLine="0"/>
        <w:jc w:val="left"/>
      </w:pPr>
      <w:r>
        <w:rPr>
          <w:sz w:val="24"/>
        </w:rPr>
        <w:t>Таблица 2. Материалы проверки и размеры эталона</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559"/>
        <w:gridCol w:w="1559"/>
        <w:gridCol w:w="1559"/>
        <w:gridCol w:w="1559"/>
        <w:gridCol w:w="1559"/>
        <w:gridCol w:w="1559"/>
      </w:tblGrid>
      <w:tr>
        <w:trPr>
          <w:tblHeader w:val="true"/>
          <w:cantSplit w:val="true"/>
        </w:trPr>
        <w:tc>
          <w:tcPr>
            <w:tcW w:type="dxa" w:w="624"/>
            <w:shd w:val="clear" w:color="auto" w:fill="E7E7E7"/>
          </w:tcPr>
          <w:p>
            <w:pPr>
              <w:keepNext/>
              <w:spacing w:line="240" w:lineRule="auto"/>
              <w:ind w:firstLine="0"/>
              <w:jc w:val="center"/>
            </w:pPr>
            <w:r/>
            <w:r>
              <w:rPr>
                <w:b/>
                <w:sz w:val="21"/>
              </w:rPr>
              <w:t>Код</w:t>
            </w:r>
          </w:p>
        </w:tc>
        <w:tc>
          <w:tcPr>
            <w:tcW w:type="dxa" w:w="2041"/>
            <w:shd w:val="clear" w:color="auto" w:fill="E7E7E7"/>
          </w:tcPr>
          <w:p>
            <w:pPr>
              <w:keepNext/>
              <w:spacing w:line="240" w:lineRule="auto"/>
              <w:ind w:firstLine="0"/>
              <w:jc w:val="center"/>
            </w:pPr>
            <w:r/>
            <w:r>
              <w:rPr>
                <w:b/>
                <w:sz w:val="21"/>
              </w:rPr>
              <w:t>Целевой текст</w:t>
            </w:r>
          </w:p>
        </w:tc>
        <w:tc>
          <w:tcPr>
            <w:tcW w:type="dxa" w:w="2211"/>
            <w:shd w:val="clear" w:color="auto" w:fill="E7E7E7"/>
          </w:tcPr>
          <w:p>
            <w:pPr>
              <w:keepNext/>
              <w:spacing w:line="240" w:lineRule="auto"/>
              <w:ind w:firstLine="0"/>
              <w:jc w:val="center"/>
            </w:pPr>
            <w:r/>
            <w:r>
              <w:rPr>
                <w:b/>
                <w:sz w:val="21"/>
              </w:rPr>
              <w:t>Источник</w:t>
            </w:r>
          </w:p>
        </w:tc>
        <w:tc>
          <w:tcPr>
            <w:tcW w:type="dxa" w:w="850"/>
            <w:shd w:val="clear" w:color="auto" w:fill="E7E7E7"/>
          </w:tcPr>
          <w:p>
            <w:pPr>
              <w:keepNext/>
              <w:spacing w:line="240" w:lineRule="auto"/>
              <w:ind w:firstLine="0"/>
              <w:jc w:val="center"/>
            </w:pPr>
            <w:r/>
            <w:r>
              <w:rPr>
                <w:b/>
                <w:sz w:val="21"/>
              </w:rPr>
              <w:t>Язык</w:t>
            </w:r>
          </w:p>
        </w:tc>
        <w:tc>
          <w:tcPr>
            <w:tcW w:type="dxa" w:w="1247"/>
            <w:shd w:val="clear" w:color="auto" w:fill="E7E7E7"/>
          </w:tcPr>
          <w:p>
            <w:pPr>
              <w:keepNext/>
              <w:spacing w:line="240" w:lineRule="auto"/>
              <w:ind w:firstLine="0"/>
              <w:jc w:val="center"/>
            </w:pPr>
            <w:r/>
            <w:r>
              <w:rPr>
                <w:b/>
                <w:sz w:val="21"/>
              </w:rPr>
              <w:t>Эталон</w:t>
            </w:r>
          </w:p>
        </w:tc>
        <w:tc>
          <w:tcPr>
            <w:tcW w:type="dxa" w:w="1814"/>
            <w:shd w:val="clear" w:color="auto" w:fill="E7E7E7"/>
          </w:tcPr>
          <w:p>
            <w:pPr>
              <w:keepNext/>
              <w:spacing w:line="240" w:lineRule="auto"/>
              <w:ind w:firstLine="0"/>
              <w:jc w:val="center"/>
            </w:pPr>
            <w:r/>
            <w:r>
              <w:rPr>
                <w:b/>
                <w:sz w:val="21"/>
              </w:rPr>
              <w:t>Записей: v0 → v1 → множество протокола</w:t>
            </w:r>
          </w:p>
        </w:tc>
      </w:tr>
      <w:tr>
        <w:trPr>
          <w:cantSplit w:val="true"/>
        </w:trPr>
        <w:tc>
          <w:tcPr>
            <w:tcW w:type="dxa" w:w="624"/>
          </w:tcPr>
          <w:p>
            <w:pPr>
              <w:keepNext/>
              <w:spacing w:line="240" w:lineRule="auto"/>
              <w:ind w:firstLine="0"/>
              <w:jc w:val="center"/>
            </w:pPr>
            <w:r/>
            <w:r>
              <w:rPr>
                <w:b w:val="0"/>
                <w:sz w:val="21"/>
              </w:rPr>
              <w:t>A</w:t>
            </w:r>
          </w:p>
        </w:tc>
        <w:tc>
          <w:tcPr>
            <w:tcW w:type="dxa" w:w="2041"/>
          </w:tcPr>
          <w:p>
            <w:pPr>
              <w:keepNext/>
              <w:spacing w:line="240" w:lineRule="auto"/>
              <w:ind w:firstLine="0"/>
              <w:jc w:val="left"/>
            </w:pPr>
            <w:r/>
            <w:r>
              <w:rPr>
                <w:b w:val="0"/>
                <w:sz w:val="21"/>
              </w:rPr>
              <w:t>Мильтон, «Потерянный рай»</w:t>
            </w:r>
          </w:p>
        </w:tc>
        <w:tc>
          <w:tcPr>
            <w:tcW w:type="dxa" w:w="2211"/>
          </w:tcPr>
          <w:p>
            <w:pPr>
              <w:keepNext/>
              <w:spacing w:line="240" w:lineRule="auto"/>
              <w:ind w:firstLine="0"/>
              <w:jc w:val="left"/>
            </w:pPr>
            <w:r/>
            <w:r>
              <w:rPr>
                <w:b w:val="0"/>
                <w:sz w:val="21"/>
              </w:rPr>
              <w:t>KJV</w:t>
            </w:r>
          </w:p>
        </w:tc>
        <w:tc>
          <w:tcPr>
            <w:tcW w:type="dxa" w:w="850"/>
          </w:tcPr>
          <w:p>
            <w:pPr>
              <w:keepNext/>
              <w:spacing w:line="240" w:lineRule="auto"/>
              <w:ind w:firstLine="0"/>
              <w:jc w:val="center"/>
            </w:pPr>
            <w:r/>
            <w:r>
              <w:rPr>
                <w:b w:val="0"/>
                <w:sz w:val="21"/>
              </w:rPr>
              <w:t>англ.</w:t>
            </w:r>
          </w:p>
        </w:tc>
        <w:tc>
          <w:tcPr>
            <w:tcW w:type="dxa" w:w="1247"/>
          </w:tcPr>
          <w:p>
            <w:pPr>
              <w:keepNext/>
              <w:spacing w:line="240" w:lineRule="auto"/>
              <w:ind w:firstLine="0"/>
              <w:jc w:val="left"/>
            </w:pPr>
            <w:r/>
            <w:r>
              <w:rPr>
                <w:b w:val="0"/>
                <w:sz w:val="21"/>
              </w:rPr>
              <w:t>Лаксон</w:t>
            </w:r>
          </w:p>
        </w:tc>
        <w:tc>
          <w:tcPr>
            <w:tcW w:type="dxa" w:w="1814"/>
          </w:tcPr>
          <w:p>
            <w:pPr>
              <w:keepNext/>
              <w:spacing w:line="240" w:lineRule="auto"/>
              <w:ind w:firstLine="0"/>
              <w:jc w:val="center"/>
            </w:pPr>
            <w:r/>
            <w:r>
              <w:rPr>
                <w:b w:val="0"/>
                <w:sz w:val="21"/>
              </w:rPr>
              <w:t>393 → 390 → 145</w:t>
            </w:r>
          </w:p>
        </w:tc>
      </w:tr>
      <w:tr>
        <w:trPr>
          <w:cantSplit w:val="true"/>
        </w:trPr>
        <w:tc>
          <w:tcPr>
            <w:tcW w:type="dxa" w:w="624"/>
          </w:tcPr>
          <w:p>
            <w:pPr>
              <w:keepNext/>
              <w:spacing w:line="240" w:lineRule="auto"/>
              <w:ind w:firstLine="0"/>
              <w:jc w:val="center"/>
            </w:pPr>
            <w:r/>
            <w:r>
              <w:rPr>
                <w:b w:val="0"/>
                <w:sz w:val="21"/>
              </w:rPr>
              <w:t>B</w:t>
            </w:r>
          </w:p>
        </w:tc>
        <w:tc>
          <w:tcPr>
            <w:tcW w:type="dxa" w:w="2041"/>
          </w:tcPr>
          <w:p>
            <w:pPr>
              <w:keepNext/>
              <w:spacing w:line="240" w:lineRule="auto"/>
              <w:ind w:firstLine="0"/>
              <w:jc w:val="left"/>
            </w:pPr>
            <w:r/>
            <w:r>
              <w:rPr>
                <w:b w:val="0"/>
                <w:sz w:val="21"/>
              </w:rPr>
              <w:t>Мильтон, «Потерянный рай»</w:t>
            </w:r>
          </w:p>
        </w:tc>
        <w:tc>
          <w:tcPr>
            <w:tcW w:type="dxa" w:w="2211"/>
          </w:tcPr>
          <w:p>
            <w:pPr>
              <w:keepNext/>
              <w:spacing w:line="240" w:lineRule="auto"/>
              <w:ind w:firstLine="0"/>
              <w:jc w:val="left"/>
            </w:pPr>
            <w:r/>
            <w:r>
              <w:rPr>
                <w:b w:val="0"/>
                <w:sz w:val="21"/>
              </w:rPr>
              <w:t>Вергилий, Гомер, Овидий (переводы)</w:t>
            </w:r>
          </w:p>
        </w:tc>
        <w:tc>
          <w:tcPr>
            <w:tcW w:type="dxa" w:w="850"/>
          </w:tcPr>
          <w:p>
            <w:pPr>
              <w:keepNext/>
              <w:spacing w:line="240" w:lineRule="auto"/>
              <w:ind w:firstLine="0"/>
              <w:jc w:val="center"/>
            </w:pPr>
            <w:r/>
            <w:r>
              <w:rPr>
                <w:b w:val="0"/>
                <w:sz w:val="21"/>
              </w:rPr>
              <w:t>англ.</w:t>
            </w:r>
          </w:p>
        </w:tc>
        <w:tc>
          <w:tcPr>
            <w:tcW w:type="dxa" w:w="1247"/>
          </w:tcPr>
          <w:p>
            <w:pPr>
              <w:keepNext/>
              <w:spacing w:line="240" w:lineRule="auto"/>
              <w:ind w:firstLine="0"/>
              <w:jc w:val="left"/>
            </w:pPr>
            <w:r/>
            <w:r>
              <w:rPr>
                <w:b w:val="0"/>
                <w:sz w:val="21"/>
              </w:rPr>
              <w:t>Лаксон</w:t>
            </w:r>
          </w:p>
        </w:tc>
        <w:tc>
          <w:tcPr>
            <w:tcW w:type="dxa" w:w="1814"/>
          </w:tcPr>
          <w:p>
            <w:pPr>
              <w:keepNext/>
              <w:spacing w:line="240" w:lineRule="auto"/>
              <w:ind w:firstLine="0"/>
              <w:jc w:val="center"/>
            </w:pPr>
            <w:r/>
            <w:r>
              <w:rPr>
                <w:b w:val="0"/>
                <w:sz w:val="21"/>
              </w:rPr>
              <w:t>98 → 93 → 37</w:t>
            </w:r>
          </w:p>
        </w:tc>
      </w:tr>
      <w:tr>
        <w:trPr>
          <w:cantSplit w:val="true"/>
        </w:trPr>
        <w:tc>
          <w:tcPr>
            <w:tcW w:type="dxa" w:w="624"/>
          </w:tcPr>
          <w:p>
            <w:pPr>
              <w:keepNext/>
              <w:spacing w:line="240" w:lineRule="auto"/>
              <w:ind w:firstLine="0"/>
              <w:jc w:val="center"/>
            </w:pPr>
            <w:r/>
            <w:r>
              <w:rPr>
                <w:b w:val="0"/>
                <w:sz w:val="21"/>
              </w:rPr>
              <w:t>C</w:t>
            </w:r>
          </w:p>
        </w:tc>
        <w:tc>
          <w:tcPr>
            <w:tcW w:type="dxa" w:w="2041"/>
          </w:tcPr>
          <w:p>
            <w:pPr>
              <w:keepNext/>
              <w:spacing w:line="240" w:lineRule="auto"/>
              <w:ind w:firstLine="0"/>
              <w:jc w:val="left"/>
            </w:pPr>
            <w:r/>
            <w:r>
              <w:rPr>
                <w:b w:val="0"/>
                <w:sz w:val="21"/>
              </w:rPr>
              <w:t>Баньян, «Путь паломника»</w:t>
            </w:r>
          </w:p>
        </w:tc>
        <w:tc>
          <w:tcPr>
            <w:tcW w:type="dxa" w:w="2211"/>
          </w:tcPr>
          <w:p>
            <w:pPr>
              <w:keepNext/>
              <w:spacing w:line="240" w:lineRule="auto"/>
              <w:ind w:firstLine="0"/>
              <w:jc w:val="left"/>
            </w:pPr>
            <w:r/>
            <w:r>
              <w:rPr>
                <w:b w:val="0"/>
                <w:sz w:val="21"/>
              </w:rPr>
              <w:t>KJV</w:t>
            </w:r>
          </w:p>
        </w:tc>
        <w:tc>
          <w:tcPr>
            <w:tcW w:type="dxa" w:w="850"/>
          </w:tcPr>
          <w:p>
            <w:pPr>
              <w:keepNext/>
              <w:spacing w:line="240" w:lineRule="auto"/>
              <w:ind w:firstLine="0"/>
              <w:jc w:val="center"/>
            </w:pPr>
            <w:r/>
            <w:r>
              <w:rPr>
                <w:b w:val="0"/>
                <w:sz w:val="21"/>
              </w:rPr>
              <w:t>англ.</w:t>
            </w:r>
          </w:p>
        </w:tc>
        <w:tc>
          <w:tcPr>
            <w:tcW w:type="dxa" w:w="1247"/>
          </w:tcPr>
          <w:p>
            <w:pPr>
              <w:keepNext/>
              <w:spacing w:line="240" w:lineRule="auto"/>
              <w:ind w:firstLine="0"/>
              <w:jc w:val="left"/>
            </w:pPr>
            <w:r/>
            <w:r>
              <w:rPr>
                <w:b w:val="0"/>
                <w:sz w:val="21"/>
              </w:rPr>
              <w:t>ссылки автора</w:t>
            </w:r>
          </w:p>
        </w:tc>
        <w:tc>
          <w:tcPr>
            <w:tcW w:type="dxa" w:w="1814"/>
          </w:tcPr>
          <w:p>
            <w:pPr>
              <w:keepNext/>
              <w:spacing w:line="240" w:lineRule="auto"/>
              <w:ind w:firstLine="0"/>
              <w:jc w:val="center"/>
            </w:pPr>
            <w:r/>
            <w:r>
              <w:rPr>
                <w:b w:val="0"/>
                <w:sz w:val="21"/>
              </w:rPr>
              <w:t>317 → 381 → 219</w:t>
            </w:r>
          </w:p>
        </w:tc>
      </w:tr>
      <w:tr>
        <w:trPr>
          <w:cantSplit w:val="true"/>
        </w:trPr>
        <w:tc>
          <w:tcPr>
            <w:tcW w:type="dxa" w:w="624"/>
          </w:tcPr>
          <w:p>
            <w:pPr>
              <w:keepNext/>
              <w:spacing w:line="240" w:lineRule="auto"/>
              <w:ind w:firstLine="0"/>
              <w:jc w:val="center"/>
            </w:pPr>
            <w:r/>
            <w:r>
              <w:rPr>
                <w:b w:val="0"/>
                <w:sz w:val="21"/>
              </w:rPr>
              <w:t>D</w:t>
            </w:r>
          </w:p>
        </w:tc>
        <w:tc>
          <w:tcPr>
            <w:tcW w:type="dxa" w:w="2041"/>
          </w:tcPr>
          <w:p>
            <w:pPr>
              <w:keepNext/>
              <w:spacing w:line="240" w:lineRule="auto"/>
              <w:ind w:firstLine="0"/>
              <w:jc w:val="left"/>
            </w:pPr>
            <w:r/>
            <w:r>
              <w:rPr>
                <w:b w:val="0"/>
                <w:sz w:val="21"/>
              </w:rPr>
              <w:t>Пушкин, «Евгений Онегин»</w:t>
            </w:r>
          </w:p>
        </w:tc>
        <w:tc>
          <w:tcPr>
            <w:tcW w:type="dxa" w:w="2211"/>
          </w:tcPr>
          <w:p>
            <w:pPr>
              <w:keepNext/>
              <w:spacing w:line="240" w:lineRule="auto"/>
              <w:ind w:firstLine="0"/>
              <w:jc w:val="left"/>
            </w:pPr>
            <w:r/>
            <w:r>
              <w:rPr>
                <w:b w:val="0"/>
                <w:sz w:val="21"/>
              </w:rPr>
              <w:t>стихотворения 20 поэтов и строфы «Онегина»</w:t>
            </w:r>
          </w:p>
        </w:tc>
        <w:tc>
          <w:tcPr>
            <w:tcW w:type="dxa" w:w="850"/>
          </w:tcPr>
          <w:p>
            <w:pPr>
              <w:keepNext/>
              <w:spacing w:line="240" w:lineRule="auto"/>
              <w:ind w:firstLine="0"/>
              <w:jc w:val="center"/>
            </w:pPr>
            <w:r/>
            <w:r>
              <w:rPr>
                <w:b w:val="0"/>
                <w:sz w:val="21"/>
              </w:rPr>
              <w:t>русск.</w:t>
            </w:r>
          </w:p>
        </w:tc>
        <w:tc>
          <w:tcPr>
            <w:tcW w:type="dxa" w:w="1247"/>
          </w:tcPr>
          <w:p>
            <w:pPr>
              <w:keepNext/>
              <w:spacing w:line="240" w:lineRule="auto"/>
              <w:ind w:firstLine="0"/>
              <w:jc w:val="left"/>
            </w:pPr>
            <w:r/>
            <w:r>
              <w:rPr>
                <w:b w:val="0"/>
                <w:sz w:val="21"/>
              </w:rPr>
              <w:t>Лотман</w:t>
            </w:r>
          </w:p>
        </w:tc>
        <w:tc>
          <w:tcPr>
            <w:tcW w:type="dxa" w:w="1814"/>
          </w:tcPr>
          <w:p>
            <w:pPr>
              <w:keepNext/>
              <w:spacing w:line="240" w:lineRule="auto"/>
              <w:ind w:firstLine="0"/>
              <w:jc w:val="center"/>
            </w:pPr>
            <w:r/>
            <w:r>
              <w:rPr>
                <w:b w:val="0"/>
                <w:sz w:val="21"/>
              </w:rPr>
              <w:t>85 → 49 → 18</w:t>
            </w:r>
          </w:p>
        </w:tc>
      </w:tr>
      <w:tr>
        <w:trPr>
          <w:cantSplit w:val="true"/>
        </w:trPr>
        <w:tc>
          <w:tcPr>
            <w:tcW w:type="dxa" w:w="624"/>
          </w:tcPr>
          <w:p>
            <w:pPr>
              <w:spacing w:line="240" w:lineRule="auto"/>
              <w:ind w:firstLine="0"/>
              <w:jc w:val="center"/>
            </w:pPr>
            <w:r/>
            <w:r>
              <w:rPr>
                <w:b w:val="0"/>
                <w:sz w:val="21"/>
              </w:rPr>
              <w:t>E</w:t>
            </w:r>
          </w:p>
        </w:tc>
        <w:tc>
          <w:tcPr>
            <w:tcW w:type="dxa" w:w="2041"/>
          </w:tcPr>
          <w:p>
            <w:pPr>
              <w:spacing w:line="240" w:lineRule="auto"/>
              <w:ind w:firstLine="0"/>
              <w:jc w:val="left"/>
            </w:pPr>
            <w:r/>
            <w:r>
              <w:rPr>
                <w:b w:val="0"/>
                <w:sz w:val="21"/>
              </w:rPr>
              <w:t>Ильф и Петров, «Двенадцать стульев»</w:t>
            </w:r>
          </w:p>
        </w:tc>
        <w:tc>
          <w:tcPr>
            <w:tcW w:type="dxa" w:w="2211"/>
          </w:tcPr>
          <w:p>
            <w:pPr>
              <w:spacing w:line="240" w:lineRule="auto"/>
              <w:ind w:firstLine="0"/>
              <w:jc w:val="left"/>
            </w:pPr>
            <w:r/>
            <w:r>
              <w:rPr>
                <w:b w:val="0"/>
                <w:sz w:val="21"/>
              </w:rPr>
              <w:t>11 авторов (Викитека), PoetryCorpus</w:t>
            </w:r>
          </w:p>
        </w:tc>
        <w:tc>
          <w:tcPr>
            <w:tcW w:type="dxa" w:w="850"/>
          </w:tcPr>
          <w:p>
            <w:pPr>
              <w:spacing w:line="240" w:lineRule="auto"/>
              <w:ind w:firstLine="0"/>
              <w:jc w:val="center"/>
            </w:pPr>
            <w:r/>
            <w:r>
              <w:rPr>
                <w:b w:val="0"/>
                <w:sz w:val="21"/>
              </w:rPr>
              <w:t>русск.</w:t>
            </w:r>
          </w:p>
        </w:tc>
        <w:tc>
          <w:tcPr>
            <w:tcW w:type="dxa" w:w="1247"/>
          </w:tcPr>
          <w:p>
            <w:pPr>
              <w:spacing w:line="240" w:lineRule="auto"/>
              <w:ind w:firstLine="0"/>
              <w:jc w:val="left"/>
            </w:pPr>
            <w:r/>
            <w:r>
              <w:rPr>
                <w:b w:val="0"/>
                <w:sz w:val="21"/>
              </w:rPr>
              <w:t>Щеглов</w:t>
            </w:r>
          </w:p>
        </w:tc>
        <w:tc>
          <w:tcPr>
            <w:tcW w:type="dxa" w:w="1814"/>
          </w:tcPr>
          <w:p>
            <w:pPr>
              <w:spacing w:line="240" w:lineRule="auto"/>
              <w:ind w:firstLine="0"/>
              <w:jc w:val="center"/>
            </w:pPr>
            <w:r/>
            <w:r>
              <w:rPr>
                <w:b w:val="0"/>
                <w:sz w:val="21"/>
              </w:rPr>
              <w:t>189 → 76 → 26</w:t>
            </w:r>
          </w:p>
        </w:tc>
      </w:tr>
    </w:tbl>
    <w:p>
      <w:pPr>
        <w:spacing w:line="240" w:lineRule="auto" w:after="0" w:before="60"/>
        <w:ind w:firstLine="0"/>
        <w:jc w:val="both"/>
      </w:pPr>
      <w:r>
        <w:rPr>
          <w:sz w:val="22"/>
        </w:rPr>
        <w:t>Примечание. v0: эталон, построенный автоматически; v1: после поправок шага 2 протокола; множество протокола: записи, оставшиеся после шагов 2–4 (раздел 3.5).</w:t>
      </w:r>
    </w:p>
    <w:p>
      <w:pPr>
        <w:spacing w:line="240" w:lineRule="auto" w:after="80"/>
        <w:ind w:firstLine="0"/>
      </w:pPr>
    </w:p>
    <w:p>
      <w:pPr>
        <w:pStyle w:val="Heading2"/>
      </w:pPr>
      <w:r>
        <w:t>2.3. Предобработка</w:t>
      </w:r>
    </w:p>
    <w:p>
      <w:r>
        <w:t>Для русского языка применялась лемматизация морфологическим анализатором pymorphy [37], для английского лёгкий стеммер по фиксированному списку окончаний. Целевые тексты делились на абзацы и предложения; для синтаксического слоя строились деревья зависимостей, для семантического слоя использовались статические векторы предложений и многоязычная модель E5 [38]. Для внешнего графа перекрёстных ссылок Библии использован справочник openbible.info [39]: 344 799 строк дали 546 646 рёбер, из них 118 723 соединяют Заветы.</w:t>
      </w:r>
    </w:p>
    <w:p>
      <w:pPr>
        <w:pStyle w:val="Heading1"/>
      </w:pPr>
      <w:r>
        <w:t>3. МЕТОДЫ</w:t>
      </w:r>
    </w:p>
    <w:p>
      <w:pPr>
        <w:pStyle w:val="Heading2"/>
      </w:pPr>
      <w:r>
        <w:t>3.1. Две задачи</w:t>
      </w:r>
    </w:p>
    <w:p>
      <w:r>
        <w:t>Задача отбора состоит в определении того, какие абзацы целевого текста содержат заимствование. Задача атрибуции состоит в определении того, какой фрагмент источника стоит за данным абзацем. Задачи различаются метриками и свойствами данных: в отборе длина цели различается в сто раз и коррелирует с эталоном, в атрибуции длина кандидатов одинакова. Для отбора использованы AUC и прирост AUC над предсказателем «только длина»; для атрибуции ранг правильного стиха среди 31 102, доли попаданий в первые 10, 50, 200 позиций и достижимость правильного стиха шортлистом.</w:t>
      </w:r>
    </w:p>
    <w:p>
      <w:pPr>
        <w:pStyle w:val="Heading2"/>
      </w:pPr>
      <w:r>
        <w:t>3.2. Скореры</w:t>
      </w:r>
    </w:p>
    <w:p>
      <w:r>
        <w:t>Банк скореров включает признаки трёх групп. Лексические: n-граммы лемм с весом по редкости [40]; BM25 по леммам [41]; косинус idf-мешков лемм; косинус символьных 4-грамм; длина самой длинной дословной цепочки лемм (</w:t>
      </w:r>
      <w:r>
        <w:rPr>
          <w:i/>
        </w:rPr>
        <w:t>runmatch</w:t>
      </w:r>
      <w:r>
        <w:t>); мешок только редких лемм (доля единиц источника не выше 2 %). Синтаксические: общие рёбра дерева разбора без типа связи; пары лемм, связанных путём по дереву не длиннее двух рёбер. Семантические: статические векторы предложений и модель E5. Единицей сопоставления служит предложение целевого текста и стих источника, балл абзаца равен максимуму по предложениям. Такой выбор единицы принят на основании измерений раздела 4.3.</w:t>
      </w:r>
    </w:p>
    <w:p>
      <w:pPr>
        <w:pStyle w:val="Heading2"/>
      </w:pPr>
      <w:r>
        <w:t>3.3. Шортлист и объединение</w:t>
      </w:r>
    </w:p>
    <w:p>
      <w:r>
        <w:t>Шортлист для абзаца есть объединение первых K кандидатов по каждому скореру. Для плотных скореров с потолком полноты, близким к единице, K принят равным 1000. Объединение выполняется логистической регрессией на двух видах признаков: сырой балл и его процентиль среди всех стихов (шкалы скореров несопоставимы: BM25 измеряется десятками, косинус долями единицы, n-граммы равны нулю у 99 % стихов). Оценка проводится по схеме leave-one-target-out; ресэмплинг в бутстрапе ведётся по абзацам [42].</w:t>
      </w:r>
    </w:p>
    <w:p>
      <w:pPr>
        <w:pStyle w:val="Heading2"/>
      </w:pPr>
      <w:r>
        <w:t>3.4. Статистика</w:t>
      </w:r>
    </w:p>
    <w:p>
      <w:r>
        <w:t>Доверительные интервалы для долей строятся методом Уилсона [43], согласие разметчиков измеряется коэффициентом κ Коэна [44], множественные сравнения корректируются по Холму [45]. Основной метрикой принято среднее значение логарифма ранга, поскольку медиана на малых выборках нестабильна. Основная метрика и правило решения записываются до получения результата; все сравнения заносятся в журнал со статусом «предзаданное» или «разведочное».</w:t>
      </w:r>
    </w:p>
    <w:p>
      <w:pPr>
        <w:pStyle w:val="Heading2"/>
      </w:pPr>
      <w:r>
        <w:t>3.5. Протокол калибровки</w:t>
      </w:r>
    </w:p>
    <w:p>
      <w:r>
        <w:t>Протокол состоит из семи шагов (рис. 1, таблица 3). Каждый шаг выведен из ошибки, обнаруженной на исходном случае, и снабжён проверяемым критерием. Порядок существенен: поправки эталона (шаг 2) выполняются первыми, потому что они меняют множество записей, к которому применяются шаги 3 и 4.</w:t>
      </w:r>
    </w:p>
    <w:p>
      <w:pPr>
        <w:keepNext/>
        <w:spacing w:line="240" w:lineRule="auto" w:before="120"/>
        <w:ind w:firstLine="0"/>
        <w:jc w:val="center"/>
      </w:pPr>
      <w:r>
        <w:drawing>
          <wp:inline xmlns:a="http://schemas.openxmlformats.org/drawingml/2006/main" xmlns:pic="http://schemas.openxmlformats.org/drawingml/2006/picture">
            <wp:extent cx="5400000" cy="313783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400000" cy="3137838"/>
                    </a:xfrm>
                    <a:prstGeom prst="rect"/>
                  </pic:spPr>
                </pic:pic>
              </a:graphicData>
            </a:graphic>
          </wp:inline>
        </w:drawing>
      </w:r>
    </w:p>
    <w:p>
      <w:pPr>
        <w:spacing w:line="240" w:lineRule="auto" w:after="200"/>
        <w:ind w:firstLine="0"/>
        <w:jc w:val="center"/>
      </w:pPr>
      <w:r>
        <w:rPr>
          <w:sz w:val="24"/>
        </w:rPr>
        <w:t>Рис. 1. Схема конвейера и место протокола калибровки</w:t>
      </w:r>
    </w:p>
    <w:p>
      <w:pPr>
        <w:keepNext/>
        <w:spacing w:line="240" w:lineRule="auto" w:after="80" w:before="120"/>
        <w:ind w:firstLine="0"/>
        <w:jc w:val="left"/>
      </w:pPr>
      <w:r>
        <w:rPr>
          <w:sz w:val="24"/>
        </w:rPr>
        <w:t>Таблица 3. Шаги протокола и ошибки, обнаруженные на исходном случае</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3118"/>
        <w:gridCol w:w="3118"/>
        <w:gridCol w:w="3118"/>
      </w:tblGrid>
      <w:tr>
        <w:trPr>
          <w:tblHeader w:val="true"/>
          <w:cantSplit w:val="true"/>
        </w:trPr>
        <w:tc>
          <w:tcPr>
            <w:tcW w:type="dxa" w:w="624"/>
            <w:shd w:val="clear" w:color="auto" w:fill="E7E7E7"/>
          </w:tcPr>
          <w:p>
            <w:pPr>
              <w:keepNext/>
              <w:spacing w:line="240" w:lineRule="auto"/>
              <w:ind w:firstLine="0"/>
              <w:jc w:val="center"/>
            </w:pPr>
            <w:r/>
            <w:r>
              <w:rPr>
                <w:b/>
                <w:sz w:val="22"/>
              </w:rPr>
              <w:t>Шаг</w:t>
            </w:r>
          </w:p>
        </w:tc>
        <w:tc>
          <w:tcPr>
            <w:tcW w:type="dxa" w:w="2948"/>
            <w:shd w:val="clear" w:color="auto" w:fill="E7E7E7"/>
          </w:tcPr>
          <w:p>
            <w:pPr>
              <w:keepNext/>
              <w:spacing w:line="240" w:lineRule="auto"/>
              <w:ind w:firstLine="0"/>
              <w:jc w:val="center"/>
            </w:pPr>
            <w:r/>
            <w:r>
              <w:rPr>
                <w:b/>
                <w:sz w:val="22"/>
              </w:rPr>
              <w:t>Вопрос</w:t>
            </w:r>
          </w:p>
        </w:tc>
        <w:tc>
          <w:tcPr>
            <w:tcW w:type="dxa" w:w="5216"/>
            <w:shd w:val="clear" w:color="auto" w:fill="E7E7E7"/>
          </w:tcPr>
          <w:p>
            <w:pPr>
              <w:keepNext/>
              <w:spacing w:line="240" w:lineRule="auto"/>
              <w:ind w:firstLine="0"/>
              <w:jc w:val="center"/>
            </w:pPr>
            <w:r/>
            <w:r>
              <w:rPr>
                <w:b/>
                <w:sz w:val="22"/>
              </w:rPr>
              <w:t>Что обнаружено</w:t>
            </w:r>
          </w:p>
        </w:tc>
      </w:tr>
      <w:tr>
        <w:trPr>
          <w:cantSplit w:val="true"/>
        </w:trPr>
        <w:tc>
          <w:tcPr>
            <w:tcW w:type="dxa" w:w="624"/>
          </w:tcPr>
          <w:p>
            <w:pPr>
              <w:keepNext/>
              <w:spacing w:line="240" w:lineRule="auto"/>
              <w:ind w:firstLine="0"/>
              <w:jc w:val="center"/>
            </w:pPr>
            <w:r/>
            <w:r>
              <w:rPr>
                <w:b w:val="0"/>
                <w:sz w:val="22"/>
              </w:rPr>
              <w:t>1</w:t>
            </w:r>
          </w:p>
        </w:tc>
        <w:tc>
          <w:tcPr>
            <w:tcW w:type="dxa" w:w="2948"/>
          </w:tcPr>
          <w:p>
            <w:pPr>
              <w:keepNext/>
              <w:spacing w:line="240" w:lineRule="auto"/>
              <w:ind w:firstLine="0"/>
              <w:jc w:val="left"/>
            </w:pPr>
            <w:r/>
            <w:r>
              <w:rPr>
                <w:b w:val="0"/>
                <w:sz w:val="22"/>
              </w:rPr>
              <w:t>Решается отбор или атрибуция?</w:t>
            </w:r>
          </w:p>
        </w:tc>
        <w:tc>
          <w:tcPr>
            <w:tcW w:type="dxa" w:w="5216"/>
          </w:tcPr>
          <w:p>
            <w:pPr>
              <w:keepNext/>
              <w:spacing w:line="240" w:lineRule="auto"/>
              <w:ind w:firstLine="0"/>
              <w:jc w:val="left"/>
            </w:pPr>
            <w:r/>
            <w:r>
              <w:rPr>
                <w:b w:val="0"/>
                <w:sz w:val="22"/>
              </w:rPr>
              <w:t>Две задачи измерялись одним числом; длина абзаца предсказывала эталон лучше признаков</w:t>
            </w:r>
          </w:p>
        </w:tc>
      </w:tr>
      <w:tr>
        <w:trPr>
          <w:cantSplit w:val="true"/>
        </w:trPr>
        <w:tc>
          <w:tcPr>
            <w:tcW w:type="dxa" w:w="624"/>
          </w:tcPr>
          <w:p>
            <w:pPr>
              <w:keepNext/>
              <w:spacing w:line="240" w:lineRule="auto"/>
              <w:ind w:firstLine="0"/>
              <w:jc w:val="center"/>
            </w:pPr>
            <w:r/>
            <w:r>
              <w:rPr>
                <w:b w:val="0"/>
                <w:sz w:val="22"/>
              </w:rPr>
              <w:t>2</w:t>
            </w:r>
          </w:p>
        </w:tc>
        <w:tc>
          <w:tcPr>
            <w:tcW w:type="dxa" w:w="2948"/>
          </w:tcPr>
          <w:p>
            <w:pPr>
              <w:keepNext/>
              <w:spacing w:line="240" w:lineRule="auto"/>
              <w:ind w:firstLine="0"/>
              <w:jc w:val="left"/>
            </w:pPr>
            <w:r/>
            <w:r>
              <w:rPr>
                <w:b w:val="0"/>
                <w:sz w:val="22"/>
              </w:rPr>
              <w:t>Верен ли эталон?</w:t>
            </w:r>
          </w:p>
        </w:tc>
        <w:tc>
          <w:tcPr>
            <w:tcW w:type="dxa" w:w="5216"/>
          </w:tcPr>
          <w:p>
            <w:pPr>
              <w:keepNext/>
              <w:spacing w:line="240" w:lineRule="auto"/>
              <w:ind w:firstLine="0"/>
              <w:jc w:val="left"/>
            </w:pPr>
            <w:r/>
            <w:r>
              <w:rPr>
                <w:b w:val="0"/>
                <w:sz w:val="22"/>
              </w:rPr>
              <w:t>6 записей с неверной нумерацией Псалтири и 14 записей с привязкой к абзацам другой экстракции романа: 20 из 65 недостижимы по построению</w:t>
            </w:r>
          </w:p>
        </w:tc>
      </w:tr>
      <w:tr>
        <w:trPr>
          <w:cantSplit w:val="true"/>
        </w:trPr>
        <w:tc>
          <w:tcPr>
            <w:tcW w:type="dxa" w:w="624"/>
          </w:tcPr>
          <w:p>
            <w:pPr>
              <w:keepNext/>
              <w:spacing w:line="240" w:lineRule="auto"/>
              <w:ind w:firstLine="0"/>
              <w:jc w:val="center"/>
            </w:pPr>
            <w:r/>
            <w:r>
              <w:rPr>
                <w:b w:val="0"/>
                <w:sz w:val="22"/>
              </w:rPr>
              <w:t>3</w:t>
            </w:r>
          </w:p>
        </w:tc>
        <w:tc>
          <w:tcPr>
            <w:tcW w:type="dxa" w:w="2948"/>
          </w:tcPr>
          <w:p>
            <w:pPr>
              <w:keepNext/>
              <w:spacing w:line="240" w:lineRule="auto"/>
              <w:ind w:firstLine="0"/>
              <w:jc w:val="left"/>
            </w:pPr>
            <w:r/>
            <w:r>
              <w:rPr>
                <w:b w:val="0"/>
                <w:sz w:val="22"/>
              </w:rPr>
              <w:t>Каков потолок признака и знаменатель?</w:t>
            </w:r>
          </w:p>
        </w:tc>
        <w:tc>
          <w:tcPr>
            <w:tcW w:type="dxa" w:w="5216"/>
          </w:tcPr>
          <w:p>
            <w:pPr>
              <w:keepNext/>
              <w:spacing w:line="240" w:lineRule="auto"/>
              <w:ind w:firstLine="0"/>
              <w:jc w:val="left"/>
            </w:pPr>
            <w:r/>
            <w:r>
              <w:rPr>
                <w:b w:val="0"/>
                <w:sz w:val="22"/>
              </w:rPr>
              <w:t>Потолки лексического и синтаксического слоёв 0,11 и 0,34; у 10 из 64 записей нет текстового мостика</w:t>
            </w:r>
          </w:p>
        </w:tc>
      </w:tr>
      <w:tr>
        <w:trPr>
          <w:cantSplit w:val="true"/>
        </w:trPr>
        <w:tc>
          <w:tcPr>
            <w:tcW w:type="dxa" w:w="624"/>
          </w:tcPr>
          <w:p>
            <w:pPr>
              <w:keepNext/>
              <w:spacing w:line="240" w:lineRule="auto"/>
              <w:ind w:firstLine="0"/>
              <w:jc w:val="center"/>
            </w:pPr>
            <w:r/>
            <w:r>
              <w:rPr>
                <w:b w:val="0"/>
                <w:sz w:val="22"/>
              </w:rPr>
              <w:t>4</w:t>
            </w:r>
          </w:p>
        </w:tc>
        <w:tc>
          <w:tcPr>
            <w:tcW w:type="dxa" w:w="2948"/>
          </w:tcPr>
          <w:p>
            <w:pPr>
              <w:keepNext/>
              <w:spacing w:line="240" w:lineRule="auto"/>
              <w:ind w:firstLine="0"/>
              <w:jc w:val="left"/>
            </w:pPr>
            <w:r/>
            <w:r>
              <w:rPr>
                <w:b w:val="0"/>
                <w:sz w:val="22"/>
              </w:rPr>
              <w:t>Не объясняется ли выигрыш устройством эталона?</w:t>
            </w:r>
          </w:p>
        </w:tc>
        <w:tc>
          <w:tcPr>
            <w:tcW w:type="dxa" w:w="5216"/>
          </w:tcPr>
          <w:p>
            <w:pPr>
              <w:keepNext/>
              <w:spacing w:line="240" w:lineRule="auto"/>
              <w:ind w:firstLine="0"/>
              <w:jc w:val="left"/>
            </w:pPr>
            <w:r/>
            <w:r>
              <w:rPr>
                <w:b w:val="0"/>
                <w:sz w:val="22"/>
              </w:rPr>
              <w:t>Медиана ранга 538 → 176 на всех местах и 631 → 620 на одиночных ссылках</w:t>
            </w:r>
          </w:p>
        </w:tc>
      </w:tr>
      <w:tr>
        <w:trPr>
          <w:cantSplit w:val="true"/>
        </w:trPr>
        <w:tc>
          <w:tcPr>
            <w:tcW w:type="dxa" w:w="624"/>
          </w:tcPr>
          <w:p>
            <w:pPr>
              <w:keepNext/>
              <w:spacing w:line="240" w:lineRule="auto"/>
              <w:ind w:firstLine="0"/>
              <w:jc w:val="center"/>
            </w:pPr>
            <w:r/>
            <w:r>
              <w:rPr>
                <w:b w:val="0"/>
                <w:sz w:val="22"/>
              </w:rPr>
              <w:t>5</w:t>
            </w:r>
          </w:p>
        </w:tc>
        <w:tc>
          <w:tcPr>
            <w:tcW w:type="dxa" w:w="2948"/>
          </w:tcPr>
          <w:p>
            <w:pPr>
              <w:keepNext/>
              <w:spacing w:line="240" w:lineRule="auto"/>
              <w:ind w:firstLine="0"/>
              <w:jc w:val="left"/>
            </w:pPr>
            <w:r/>
            <w:r>
              <w:rPr>
                <w:b w:val="0"/>
                <w:sz w:val="22"/>
              </w:rPr>
              <w:t>Привязана ли статистика к объектам и записана ли заранее?</w:t>
            </w:r>
          </w:p>
        </w:tc>
        <w:tc>
          <w:tcPr>
            <w:tcW w:type="dxa" w:w="5216"/>
          </w:tcPr>
          <w:p>
            <w:pPr>
              <w:keepNext/>
              <w:spacing w:line="240" w:lineRule="auto"/>
              <w:ind w:firstLine="0"/>
              <w:jc w:val="left"/>
            </w:pPr>
            <w:r/>
            <w:r>
              <w:rPr>
                <w:b w:val="0"/>
                <w:sz w:val="22"/>
              </w:rPr>
              <w:t>Бутстрап по парам давал интервал 0,629–0,641 вместо 0,504–0,681; верхняя медиана выдавалась за медиану (158 вместо 90,5)</w:t>
            </w:r>
          </w:p>
        </w:tc>
      </w:tr>
      <w:tr>
        <w:trPr>
          <w:cantSplit w:val="true"/>
        </w:trPr>
        <w:tc>
          <w:tcPr>
            <w:tcW w:type="dxa" w:w="624"/>
          </w:tcPr>
          <w:p>
            <w:pPr>
              <w:keepNext/>
              <w:spacing w:line="240" w:lineRule="auto"/>
              <w:ind w:firstLine="0"/>
              <w:jc w:val="center"/>
            </w:pPr>
            <w:r/>
            <w:r>
              <w:rPr>
                <w:b w:val="0"/>
                <w:sz w:val="22"/>
              </w:rPr>
              <w:t>6</w:t>
            </w:r>
          </w:p>
        </w:tc>
        <w:tc>
          <w:tcPr>
            <w:tcW w:type="dxa" w:w="2948"/>
          </w:tcPr>
          <w:p>
            <w:pPr>
              <w:keepNext/>
              <w:spacing w:line="240" w:lineRule="auto"/>
              <w:ind w:firstLine="0"/>
              <w:jc w:val="left"/>
            </w:pPr>
            <w:r/>
            <w:r>
              <w:rPr>
                <w:b w:val="0"/>
                <w:sz w:val="22"/>
              </w:rPr>
              <w:t>Есть ли контроли артефактов?</w:t>
            </w:r>
          </w:p>
        </w:tc>
        <w:tc>
          <w:tcPr>
            <w:tcW w:type="dxa" w:w="5216"/>
          </w:tcPr>
          <w:p>
            <w:pPr>
              <w:keepNext/>
              <w:spacing w:line="240" w:lineRule="auto"/>
              <w:ind w:firstLine="0"/>
              <w:jc w:val="left"/>
            </w:pPr>
            <w:r/>
            <w:r>
              <w:rPr>
                <w:b w:val="0"/>
                <w:sz w:val="22"/>
              </w:rPr>
              <w:t>Языковая модель в роли судьи не отличала золото от обманок; признак «условная перплексия» на независимых данных не прошёл предзаданное правило</w:t>
            </w:r>
          </w:p>
        </w:tc>
      </w:tr>
      <w:tr>
        <w:trPr>
          <w:cantSplit w:val="true"/>
        </w:trPr>
        <w:tc>
          <w:tcPr>
            <w:tcW w:type="dxa" w:w="624"/>
          </w:tcPr>
          <w:p>
            <w:pPr>
              <w:spacing w:line="240" w:lineRule="auto"/>
              <w:ind w:firstLine="0"/>
              <w:jc w:val="center"/>
            </w:pPr>
            <w:r/>
            <w:r>
              <w:rPr>
                <w:b w:val="0"/>
                <w:sz w:val="22"/>
              </w:rPr>
              <w:t>7</w:t>
            </w:r>
          </w:p>
        </w:tc>
        <w:tc>
          <w:tcPr>
            <w:tcW w:type="dxa" w:w="2948"/>
          </w:tcPr>
          <w:p>
            <w:pPr>
              <w:spacing w:line="240" w:lineRule="auto"/>
              <w:ind w:firstLine="0"/>
              <w:jc w:val="left"/>
            </w:pPr>
            <w:r/>
            <w:r>
              <w:rPr>
                <w:b w:val="0"/>
                <w:sz w:val="22"/>
              </w:rPr>
              <w:t>Защищён ли конвейер от тихих отказов?</w:t>
            </w:r>
          </w:p>
        </w:tc>
        <w:tc>
          <w:tcPr>
            <w:tcW w:type="dxa" w:w="5216"/>
          </w:tcPr>
          <w:p>
            <w:pPr>
              <w:spacing w:line="240" w:lineRule="auto"/>
              <w:ind w:firstLine="0"/>
              <w:jc w:val="left"/>
            </w:pPr>
            <w:r/>
            <w:r>
              <w:rPr>
                <w:b w:val="0"/>
                <w:sz w:val="22"/>
              </w:rPr>
              <w:t xml:space="preserve">Скорер </w:t>
            </w:r>
            <w:r>
              <w:rPr>
                <w:b w:val="0"/>
                <w:i/>
                <w:sz w:val="22"/>
              </w:rPr>
              <w:t>dep_pair2</w:t>
            </w:r>
            <w:r>
              <w:rPr>
                <w:b w:val="0"/>
                <w:sz w:val="22"/>
              </w:rPr>
              <w:t xml:space="preserve"> был нулевым в 157 883 строках таблицы и обнаружился лишь при сверке со вторым прогоном (медиана ранга 411 вместо 224)</w:t>
            </w:r>
          </w:p>
        </w:tc>
      </w:tr>
    </w:tbl>
    <w:p>
      <w:pPr>
        <w:spacing w:line="240" w:lineRule="auto" w:after="80"/>
        <w:ind w:firstLine="0"/>
      </w:pPr>
    </w:p>
    <w:p>
      <w:r>
        <w:t>Для шага 3 протокол содержит числовые определения. Редкая основа: длина не меньше четырёх букв, доля единиц источника не больше 1 % (при минимуме в три единицы). Два слова подряд: соседние основы длиной не менее четырёх букв, каждая встречается не более чем в 10 % единиц источника, порядок сохранён. Запись без текстового мостика (нет ни редкой общей основы, ни двух слов подряд) выносится в отдельный знаменатель. Без числовых определений два независимых исполнителя, работавших по одному тексту протокола, получили 49 и 23 записи без мостика на одних данных; с определениями получили 50 и 46.</w:t>
      </w:r>
    </w:p>
    <w:p>
      <w:pPr>
        <w:pStyle w:val="Heading2"/>
      </w:pPr>
      <w:r>
        <w:t>3.6. Языковые модели</w:t>
      </w:r>
    </w:p>
    <w:p>
      <w:r>
        <w:t>Языковая модель использовалась в двух ролях. Как судья она оценивала по шкале от 0 до 3, подтверждает ли стих заимствование. Для проверки введены обманки пяти типов: неверные стихи, которые конвейер ставит выше всех (тип A), соседи по главе (B), стихи, процитированные комментатором для других мест (C), случайные (R), и золотые (G). Как источник признака модель вычисляла разность логарифмов вероятности предложения при наличии стиха в контексте и без него (surprisal). Отчёт всегда содержит сырую и проверенную по цитатам оценки, а также долю нестабильных вердиктов при ненулевой температуре.</w:t>
      </w:r>
    </w:p>
    <w:p>
      <w:pPr>
        <w:pStyle w:val="Heading1"/>
      </w:pPr>
      <w:r>
        <w:t>4. РЕЗУЛЬТАТЫ</w:t>
      </w:r>
    </w:p>
    <w:p>
      <w:pPr>
        <w:pStyle w:val="Heading2"/>
      </w:pPr>
      <w:r>
        <w:t>4.1. Потолок признаков</w:t>
      </w:r>
    </w:p>
    <w:p>
      <w:r>
        <w:t>Пилотный конвейер из трёх слоёв достигал полноты 8 % у лексики, 5 % у семантики и 33 % у синтаксиса, а объединение давало 37,5 % из 64 мест. Исчерпывающий расчёт по всем 31 102 стихам без порогов (таблица 4) объяснил эти числа: полнота лексического и синтаксического слоёв равна их потолку (0,11 и 0,34). Три подряд идущие общие леммы и общее ребро разбора у пересказа не возникают, и настройка порогов не выходит за этот предел.</w:t>
      </w:r>
    </w:p>
    <w:p>
      <w:pPr>
        <w:keepNext/>
        <w:spacing w:line="240" w:lineRule="auto" w:after="80" w:before="120"/>
        <w:ind w:firstLine="0"/>
        <w:jc w:val="left"/>
      </w:pPr>
      <w:r>
        <w:rPr>
          <w:sz w:val="24"/>
        </w:rPr>
        <w:t>Таблица 4. Потолок признаков на исходном случае (64 места)</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339"/>
        <w:gridCol w:w="2339"/>
        <w:gridCol w:w="2339"/>
        <w:gridCol w:w="2339"/>
      </w:tblGrid>
      <w:tr>
        <w:trPr>
          <w:tblHeader w:val="true"/>
          <w:cantSplit w:val="true"/>
        </w:trPr>
        <w:tc>
          <w:tcPr>
            <w:tcW w:type="dxa" w:w="3402"/>
            <w:shd w:val="clear" w:color="auto" w:fill="E7E7E7"/>
          </w:tcPr>
          <w:p>
            <w:pPr>
              <w:keepNext/>
              <w:spacing w:line="240" w:lineRule="auto"/>
              <w:ind w:firstLine="0"/>
              <w:jc w:val="center"/>
            </w:pPr>
            <w:r/>
            <w:r>
              <w:rPr>
                <w:b/>
                <w:sz w:val="22"/>
              </w:rPr>
              <w:t>Скорер</w:t>
            </w:r>
          </w:p>
        </w:tc>
        <w:tc>
          <w:tcPr>
            <w:tcW w:type="dxa" w:w="1814"/>
            <w:shd w:val="clear" w:color="auto" w:fill="E7E7E7"/>
          </w:tcPr>
          <w:p>
            <w:pPr>
              <w:keepNext/>
              <w:spacing w:line="240" w:lineRule="auto"/>
              <w:ind w:firstLine="0"/>
              <w:jc w:val="center"/>
            </w:pPr>
            <w:r/>
            <w:r>
              <w:rPr>
                <w:b/>
                <w:sz w:val="22"/>
              </w:rPr>
              <w:t>Правильный стих виден</w:t>
            </w:r>
          </w:p>
        </w:tc>
        <w:tc>
          <w:tcPr>
            <w:tcW w:type="dxa" w:w="2041"/>
            <w:shd w:val="clear" w:color="auto" w:fill="E7E7E7"/>
          </w:tcPr>
          <w:p>
            <w:pPr>
              <w:keepNext/>
              <w:spacing w:line="240" w:lineRule="auto"/>
              <w:ind w:firstLine="0"/>
              <w:jc w:val="center"/>
            </w:pPr>
            <w:r/>
            <w:r>
              <w:rPr>
                <w:b/>
                <w:sz w:val="22"/>
              </w:rPr>
              <w:t>Медиана ранга (если виден)</w:t>
            </w:r>
          </w:p>
        </w:tc>
        <w:tc>
          <w:tcPr>
            <w:tcW w:type="dxa" w:w="1531"/>
            <w:shd w:val="clear" w:color="auto" w:fill="E7E7E7"/>
          </w:tcPr>
          <w:p>
            <w:pPr>
              <w:keepNext/>
              <w:spacing w:line="240" w:lineRule="auto"/>
              <w:ind w:firstLine="0"/>
              <w:jc w:val="center"/>
            </w:pPr>
            <w:r/>
            <w:r>
              <w:rPr>
                <w:b/>
                <w:sz w:val="22"/>
              </w:rPr>
              <w:t>Доля в топ-200</w:t>
            </w:r>
          </w:p>
        </w:tc>
      </w:tr>
      <w:tr>
        <w:trPr>
          <w:cantSplit w:val="true"/>
        </w:trPr>
        <w:tc>
          <w:tcPr>
            <w:tcW w:type="dxa" w:w="3402"/>
          </w:tcPr>
          <w:p>
            <w:pPr>
              <w:keepNext/>
              <w:spacing w:line="240" w:lineRule="auto"/>
              <w:ind w:firstLine="0"/>
              <w:jc w:val="left"/>
            </w:pPr>
            <w:r/>
            <w:r>
              <w:rPr>
                <w:b w:val="0"/>
                <w:sz w:val="22"/>
              </w:rPr>
              <w:t>n-граммы лемм (лексика пилота)</w:t>
            </w:r>
          </w:p>
        </w:tc>
        <w:tc>
          <w:tcPr>
            <w:tcW w:type="dxa" w:w="1814"/>
          </w:tcPr>
          <w:p>
            <w:pPr>
              <w:keepNext/>
              <w:spacing w:line="240" w:lineRule="auto"/>
              <w:ind w:firstLine="0"/>
              <w:jc w:val="center"/>
            </w:pPr>
            <w:r/>
            <w:r>
              <w:rPr>
                <w:b w:val="0"/>
                <w:sz w:val="22"/>
              </w:rPr>
              <w:t>0,11</w:t>
            </w:r>
          </w:p>
        </w:tc>
        <w:tc>
          <w:tcPr>
            <w:tcW w:type="dxa" w:w="2041"/>
          </w:tcPr>
          <w:p>
            <w:pPr>
              <w:keepNext/>
              <w:spacing w:line="240" w:lineRule="auto"/>
              <w:ind w:firstLine="0"/>
              <w:jc w:val="center"/>
            </w:pPr>
            <w:r/>
            <w:r>
              <w:rPr>
                <w:b w:val="0"/>
                <w:sz w:val="22"/>
              </w:rPr>
              <w:t>2</w:t>
            </w:r>
          </w:p>
        </w:tc>
        <w:tc>
          <w:tcPr>
            <w:tcW w:type="dxa" w:w="1531"/>
          </w:tcPr>
          <w:p>
            <w:pPr>
              <w:keepNext/>
              <w:spacing w:line="240" w:lineRule="auto"/>
              <w:ind w:firstLine="0"/>
              <w:jc w:val="center"/>
            </w:pPr>
            <w:r/>
            <w:r>
              <w:rPr>
                <w:b w:val="0"/>
                <w:sz w:val="22"/>
              </w:rPr>
              <w:t>0,09</w:t>
            </w:r>
          </w:p>
        </w:tc>
      </w:tr>
      <w:tr>
        <w:trPr>
          <w:cantSplit w:val="true"/>
        </w:trPr>
        <w:tc>
          <w:tcPr>
            <w:tcW w:type="dxa" w:w="3402"/>
          </w:tcPr>
          <w:p>
            <w:pPr>
              <w:keepNext/>
              <w:spacing w:line="240" w:lineRule="auto"/>
              <w:ind w:firstLine="0"/>
              <w:jc w:val="left"/>
            </w:pPr>
            <w:r/>
            <w:r>
              <w:rPr>
                <w:b w:val="0"/>
                <w:sz w:val="22"/>
              </w:rPr>
              <w:t>Рёбра разбора (синтаксис пилота)</w:t>
            </w:r>
          </w:p>
        </w:tc>
        <w:tc>
          <w:tcPr>
            <w:tcW w:type="dxa" w:w="1814"/>
          </w:tcPr>
          <w:p>
            <w:pPr>
              <w:keepNext/>
              <w:spacing w:line="240" w:lineRule="auto"/>
              <w:ind w:firstLine="0"/>
              <w:jc w:val="center"/>
            </w:pPr>
            <w:r/>
            <w:r>
              <w:rPr>
                <w:b w:val="0"/>
                <w:sz w:val="22"/>
              </w:rPr>
              <w:t>0,34</w:t>
            </w:r>
          </w:p>
        </w:tc>
        <w:tc>
          <w:tcPr>
            <w:tcW w:type="dxa" w:w="2041"/>
          </w:tcPr>
          <w:p>
            <w:pPr>
              <w:keepNext/>
              <w:spacing w:line="240" w:lineRule="auto"/>
              <w:ind w:firstLine="0"/>
              <w:jc w:val="center"/>
            </w:pPr>
            <w:r/>
            <w:r>
              <w:rPr>
                <w:b w:val="0"/>
                <w:sz w:val="22"/>
              </w:rPr>
              <w:t>266</w:t>
            </w:r>
          </w:p>
        </w:tc>
        <w:tc>
          <w:tcPr>
            <w:tcW w:type="dxa" w:w="1531"/>
          </w:tcPr>
          <w:p>
            <w:pPr>
              <w:keepNext/>
              <w:spacing w:line="240" w:lineRule="auto"/>
              <w:ind w:firstLine="0"/>
              <w:jc w:val="center"/>
            </w:pPr>
            <w:r/>
            <w:r>
              <w:rPr>
                <w:b w:val="0"/>
                <w:sz w:val="22"/>
              </w:rPr>
              <w:t>0,14</w:t>
            </w:r>
          </w:p>
        </w:tc>
      </w:tr>
      <w:tr>
        <w:trPr>
          <w:cantSplit w:val="true"/>
        </w:trPr>
        <w:tc>
          <w:tcPr>
            <w:tcW w:type="dxa" w:w="3402"/>
          </w:tcPr>
          <w:p>
            <w:pPr>
              <w:keepNext/>
              <w:spacing w:line="240" w:lineRule="auto"/>
              <w:ind w:firstLine="0"/>
              <w:jc w:val="left"/>
            </w:pPr>
            <w:r/>
            <w:r>
              <w:rPr>
                <w:b w:val="0"/>
                <w:sz w:val="22"/>
              </w:rPr>
              <w:t>Векторы (семантика)</w:t>
            </w:r>
          </w:p>
        </w:tc>
        <w:tc>
          <w:tcPr>
            <w:tcW w:type="dxa" w:w="1814"/>
          </w:tcPr>
          <w:p>
            <w:pPr>
              <w:keepNext/>
              <w:spacing w:line="240" w:lineRule="auto"/>
              <w:ind w:firstLine="0"/>
              <w:jc w:val="center"/>
            </w:pPr>
            <w:r/>
            <w:r>
              <w:rPr>
                <w:b w:val="0"/>
                <w:sz w:val="22"/>
              </w:rPr>
              <w:t>1,00</w:t>
            </w:r>
          </w:p>
        </w:tc>
        <w:tc>
          <w:tcPr>
            <w:tcW w:type="dxa" w:w="2041"/>
          </w:tcPr>
          <w:p>
            <w:pPr>
              <w:keepNext/>
              <w:spacing w:line="240" w:lineRule="auto"/>
              <w:ind w:firstLine="0"/>
              <w:jc w:val="center"/>
            </w:pPr>
            <w:r/>
            <w:r>
              <w:rPr>
                <w:b w:val="0"/>
                <w:sz w:val="22"/>
              </w:rPr>
              <w:t>2183</w:t>
            </w:r>
          </w:p>
        </w:tc>
        <w:tc>
          <w:tcPr>
            <w:tcW w:type="dxa" w:w="1531"/>
          </w:tcPr>
          <w:p>
            <w:pPr>
              <w:keepNext/>
              <w:spacing w:line="240" w:lineRule="auto"/>
              <w:ind w:firstLine="0"/>
              <w:jc w:val="center"/>
            </w:pPr>
            <w:r/>
            <w:r>
              <w:rPr>
                <w:b w:val="0"/>
                <w:sz w:val="22"/>
              </w:rPr>
              <w:t>0,17</w:t>
            </w:r>
          </w:p>
        </w:tc>
      </w:tr>
      <w:tr>
        <w:trPr>
          <w:cantSplit w:val="true"/>
        </w:trPr>
        <w:tc>
          <w:tcPr>
            <w:tcW w:type="dxa" w:w="3402"/>
          </w:tcPr>
          <w:p>
            <w:pPr>
              <w:keepNext/>
              <w:spacing w:line="240" w:lineRule="auto"/>
              <w:ind w:firstLine="0"/>
              <w:jc w:val="left"/>
            </w:pPr>
            <w:r/>
            <w:r>
              <w:rPr>
                <w:b w:val="0"/>
                <w:sz w:val="22"/>
              </w:rPr>
              <w:t>BM25 по леммам</w:t>
            </w:r>
          </w:p>
        </w:tc>
        <w:tc>
          <w:tcPr>
            <w:tcW w:type="dxa" w:w="1814"/>
          </w:tcPr>
          <w:p>
            <w:pPr>
              <w:keepNext/>
              <w:spacing w:line="240" w:lineRule="auto"/>
              <w:ind w:firstLine="0"/>
              <w:jc w:val="center"/>
            </w:pPr>
            <w:r/>
            <w:r>
              <w:rPr>
                <w:b w:val="0"/>
                <w:sz w:val="22"/>
              </w:rPr>
              <w:t>0,98</w:t>
            </w:r>
          </w:p>
        </w:tc>
        <w:tc>
          <w:tcPr>
            <w:tcW w:type="dxa" w:w="2041"/>
          </w:tcPr>
          <w:p>
            <w:pPr>
              <w:keepNext/>
              <w:spacing w:line="240" w:lineRule="auto"/>
              <w:ind w:firstLine="0"/>
              <w:jc w:val="center"/>
            </w:pPr>
            <w:r/>
            <w:r>
              <w:rPr>
                <w:b w:val="0"/>
                <w:sz w:val="22"/>
              </w:rPr>
              <w:t>1121</w:t>
            </w:r>
          </w:p>
        </w:tc>
        <w:tc>
          <w:tcPr>
            <w:tcW w:type="dxa" w:w="1531"/>
          </w:tcPr>
          <w:p>
            <w:pPr>
              <w:keepNext/>
              <w:spacing w:line="240" w:lineRule="auto"/>
              <w:ind w:firstLine="0"/>
              <w:jc w:val="center"/>
            </w:pPr>
            <w:r/>
            <w:r>
              <w:rPr>
                <w:b w:val="0"/>
                <w:sz w:val="22"/>
              </w:rPr>
              <w:t>0,25</w:t>
            </w:r>
          </w:p>
        </w:tc>
      </w:tr>
      <w:tr>
        <w:trPr>
          <w:cantSplit w:val="true"/>
        </w:trPr>
        <w:tc>
          <w:tcPr>
            <w:tcW w:type="dxa" w:w="3402"/>
          </w:tcPr>
          <w:p>
            <w:pPr>
              <w:keepNext/>
              <w:spacing w:line="240" w:lineRule="auto"/>
              <w:ind w:firstLine="0"/>
              <w:jc w:val="left"/>
            </w:pPr>
            <w:r/>
            <w:r>
              <w:rPr>
                <w:b w:val="0"/>
                <w:sz w:val="22"/>
              </w:rPr>
              <w:t>Косинус idf-мешков лемм</w:t>
            </w:r>
          </w:p>
        </w:tc>
        <w:tc>
          <w:tcPr>
            <w:tcW w:type="dxa" w:w="1814"/>
          </w:tcPr>
          <w:p>
            <w:pPr>
              <w:keepNext/>
              <w:spacing w:line="240" w:lineRule="auto"/>
              <w:ind w:firstLine="0"/>
              <w:jc w:val="center"/>
            </w:pPr>
            <w:r/>
            <w:r>
              <w:rPr>
                <w:b w:val="0"/>
                <w:sz w:val="22"/>
              </w:rPr>
              <w:t>0,98</w:t>
            </w:r>
          </w:p>
        </w:tc>
        <w:tc>
          <w:tcPr>
            <w:tcW w:type="dxa" w:w="2041"/>
          </w:tcPr>
          <w:p>
            <w:pPr>
              <w:keepNext/>
              <w:spacing w:line="240" w:lineRule="auto"/>
              <w:ind w:firstLine="0"/>
              <w:jc w:val="center"/>
            </w:pPr>
            <w:r/>
            <w:r>
              <w:rPr>
                <w:b w:val="0"/>
                <w:sz w:val="22"/>
              </w:rPr>
              <w:t>920</w:t>
            </w:r>
          </w:p>
        </w:tc>
        <w:tc>
          <w:tcPr>
            <w:tcW w:type="dxa" w:w="1531"/>
          </w:tcPr>
          <w:p>
            <w:pPr>
              <w:keepNext/>
              <w:spacing w:line="240" w:lineRule="auto"/>
              <w:ind w:firstLine="0"/>
              <w:jc w:val="center"/>
            </w:pPr>
            <w:r/>
            <w:r>
              <w:rPr>
                <w:b w:val="0"/>
                <w:sz w:val="22"/>
              </w:rPr>
              <w:t>0,17</w:t>
            </w:r>
          </w:p>
        </w:tc>
      </w:tr>
      <w:tr>
        <w:trPr>
          <w:cantSplit w:val="true"/>
        </w:trPr>
        <w:tc>
          <w:tcPr>
            <w:tcW w:type="dxa" w:w="3402"/>
          </w:tcPr>
          <w:p>
            <w:pPr>
              <w:spacing w:line="240" w:lineRule="auto"/>
              <w:ind w:firstLine="0"/>
              <w:jc w:val="left"/>
            </w:pPr>
            <w:r/>
            <w:r>
              <w:rPr>
                <w:b w:val="0"/>
                <w:sz w:val="22"/>
              </w:rPr>
              <w:t>Косинус символьных 4-грамм</w:t>
            </w:r>
          </w:p>
        </w:tc>
        <w:tc>
          <w:tcPr>
            <w:tcW w:type="dxa" w:w="1814"/>
          </w:tcPr>
          <w:p>
            <w:pPr>
              <w:spacing w:line="240" w:lineRule="auto"/>
              <w:ind w:firstLine="0"/>
              <w:jc w:val="center"/>
            </w:pPr>
            <w:r/>
            <w:r>
              <w:rPr>
                <w:b w:val="0"/>
                <w:sz w:val="22"/>
              </w:rPr>
              <w:t>1,00</w:t>
            </w:r>
          </w:p>
        </w:tc>
        <w:tc>
          <w:tcPr>
            <w:tcW w:type="dxa" w:w="2041"/>
          </w:tcPr>
          <w:p>
            <w:pPr>
              <w:spacing w:line="240" w:lineRule="auto"/>
              <w:ind w:firstLine="0"/>
              <w:jc w:val="center"/>
            </w:pPr>
            <w:r/>
            <w:r>
              <w:rPr>
                <w:b w:val="0"/>
                <w:sz w:val="22"/>
              </w:rPr>
              <w:t>900</w:t>
            </w:r>
          </w:p>
        </w:tc>
        <w:tc>
          <w:tcPr>
            <w:tcW w:type="dxa" w:w="1531"/>
          </w:tcPr>
          <w:p>
            <w:pPr>
              <w:spacing w:line="240" w:lineRule="auto"/>
              <w:ind w:firstLine="0"/>
              <w:jc w:val="center"/>
            </w:pPr>
            <w:r/>
            <w:r>
              <w:rPr>
                <w:b w:val="0"/>
                <w:sz w:val="22"/>
              </w:rPr>
              <w:t>0,25</w:t>
            </w:r>
          </w:p>
        </w:tc>
      </w:tr>
    </w:tbl>
    <w:p>
      <w:pPr>
        <w:spacing w:line="240" w:lineRule="auto" w:after="80"/>
        <w:ind w:firstLine="0"/>
      </w:pPr>
    </w:p>
    <w:p>
      <w:r>
        <w:t>Плотные скореры видят правильный стих в 98–100 % случаев, но ранжируют его в среднем на тысячной позиции. Потолок и точность смещаются в разные стороны, поэтому выбор одного скорера лишён смысла, и слияние оказывается основным инструментом. Неожиданный выигрыш дала простая константа. Плотный слой пилота выдавал по 20 кандидатов на абзац при потолке полноты 1,00; подъём этого значения до 1000 увеличил полноту семантического слоя с 5 % (3 из 64 мест при 50 кандидатах) до 31 % (20 из 64), а объединения трёх слоёв с 25 до 31 места (39 % → 48 %). Девять мест достаёт только этот слой.</w:t>
      </w:r>
    </w:p>
    <w:p>
      <w:pPr>
        <w:pStyle w:val="Heading2"/>
      </w:pPr>
      <w:r>
        <w:t>4.2. Отбор абзацев: роль длины</w:t>
      </w:r>
    </w:p>
    <w:p>
      <w:r>
        <w:t>Среди предсказателей отбора длина абзаца оказалась лучшей: AUC 0,871 против 0,839 у синтаксиса, 0,818 у лексики и 0,759 у семантики. Эталонные абзацы длиннее прочих в 7,5 раза по медиане (154 слова против 20). При сравнении абзацев одной длины (±20 %) AUC слоёв падает до 0,593–0,618, а контрольная планка, создаваемая остаточной длиной, составляет 0,553 (рис. 2). Добавление слоя к длине в логистической регрессии даёт прирост AUC от −0,004 до +0,006 с интервалами, включающими нуль.</w:t>
      </w:r>
    </w:p>
    <w:p>
      <w:pPr>
        <w:keepNext/>
        <w:spacing w:line="240" w:lineRule="auto" w:before="120"/>
        <w:ind w:firstLine="0"/>
        <w:jc w:val="center"/>
      </w:pPr>
      <w:r>
        <w:drawing>
          <wp:inline xmlns:a="http://schemas.openxmlformats.org/drawingml/2006/main" xmlns:pic="http://schemas.openxmlformats.org/drawingml/2006/picture">
            <wp:extent cx="4860000" cy="2430000"/>
            <wp:docPr id="2" name="Picture 2"/>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4860000" cy="2430000"/>
                    </a:xfrm>
                    <a:prstGeom prst="rect"/>
                  </pic:spPr>
                </pic:pic>
              </a:graphicData>
            </a:graphic>
          </wp:inline>
        </w:drawing>
      </w:r>
    </w:p>
    <w:p>
      <w:pPr>
        <w:spacing w:line="240" w:lineRule="auto" w:after="200"/>
        <w:ind w:firstLine="0"/>
        <w:jc w:val="center"/>
      </w:pPr>
      <w:r>
        <w:rPr>
          <w:sz w:val="24"/>
        </w:rPr>
        <w:t>Рис. 2. AUC отбора абзацев: все абзацы и абзацы сопоставимой длины (исходный случай)</w:t>
      </w:r>
    </w:p>
    <w:p>
      <w:r>
        <w:t>Единственный признак, добавивший к длине измеримое значение, косинус idf-мешков лемм по предложениям: прирост AUC +0,023 (95 % интервал 0,000–0,049). Нижняя граница интервала лежит на нуле, поэтому результат следует считать пограничным. Модель из шести скореров без длины достигает AUC 0,854 против 0,870 у одной длины. Любая нормировка балла на длину ухудшает отбор: она устраняет длину, которая сама является предсказателем. Вывод для практики: на всём романе метод сверх длины абзаца почти ничего не отбирает; его применение ограничено атрибуцией источника.</w:t>
      </w:r>
    </w:p>
    <w:p>
      <w:pPr>
        <w:pStyle w:val="Heading2"/>
      </w:pPr>
      <w:r>
        <w:t>4.3. Единица сопоставления и атрибуция</w:t>
      </w:r>
    </w:p>
    <w:p>
      <w:r>
        <w:t>Выигрыш дали изменения единицы сопоставления. Усреднённый вектор абзаца растворяет цитату в окружающей прозе, вектор предложения сохраняет её. Для источника выигрывает стих перед пассажем: при окне из пяти стихов доля мест в топ-200 падает с 0,28 до 0,12 при тех же редких леммах. Меньшая единица выигрывает на обеих сторонах. Диапазоны стихов в эталоне учитываются в метрике (любой стих диапазона считается верным), и единицей извлечения диапазон не делается.</w:t>
      </w:r>
    </w:p>
    <w:p>
      <w:r>
        <w:t>Объединение девяти скореров на предложениях сократило медиану ранга атрибуции с 595 у трёх слоёв пилота до 182 (бутстрап по абзацам: −414, 95 % интервал от −585 до −222), а долю мест в первых 200 стихах подняло с 0,06 до 0,53 на одном пуле кандидатов. Для двенадцати скореров на эталоне седьмой версии медиана ранга составила 224, доля в топ-50 0,20, в топ-200 0,45, правильный стих достижим для 48 из 64 мест. Абляция показала, что ни один скорер не незаменим: разброс медианы по тринадцати наборам равен 218–318, то есть меньше ширины бутстрап-интервала в каждом сравнении проекта. Символьные 4-граммы дали наибольшую потерю при исключении (медиана 220 → 318).</w:t>
      </w:r>
    </w:p>
    <w:p>
      <w:r>
        <w:t>Часть улучшений не сработала. Распространение балла по графу соседних стихов снизило медиану ранга с 538 до 176 на всех местах, но на подмножестве из 36 мест с одиночными ссылками ранг почти не изменился (631 → 620), а доля в топ-200 выросла с 0,25 до 0,39 (+0,14; интервал 0,00–0,31). Основная часть выигрыша объясняется форматом эталона: диапазонные ссылки вознаграждают метод, размазывающий балл по соседним стихам. Внешний граф перекрёстных ссылок (546 646 рёбер) не добавил ничего сверх соседства стихов. Модель E5 в объединении оказалась избыточной (медиана 335 → 330), попарная регрессия уступила поточечной (медиана 338 против 246), каскад по ярусам удвоил топ-1 (0,03 → 0,06), но ухудшил медиану (246 → 680). Выигрыши этой серии измерений пришли из исправления данных и новых признаков, а обучающий алгоритм ничего не добавил.</w:t>
      </w:r>
    </w:p>
    <w:p>
      <w:pPr>
        <w:pStyle w:val="Heading2"/>
      </w:pPr>
      <w:r>
        <w:t>4.4. Дефекты эталона и знаменатель</w:t>
      </w:r>
    </w:p>
    <w:p>
      <w:r>
        <w:t>Три найденных дефекта объясняют заметную часть потерь полноты. Расхождение нумерации Псалтири между масоретским и синодальным счётом сделало недостижимыми шесть мест из 64: корпус нумерован по масоретскому счёту, а Тихомиров ссылается по синодальному. Привязка записей к абзацам была сбита у 14 из 65 записей, потому что эталон строился на тексте одного издания, а конвейер работает на другой экстракции романа. Эти два исправления подняли полноту объединения с 48 до 55 % (35 из 64) при неизменных методах. Независимая сверка ссылок эталона с цитатами внутри самих комментариев подтвердила 26 из 27 записей.</w:t>
      </w:r>
    </w:p>
    <w:p>
      <w:r>
        <w:t>Потолок эталона ниже 100 %. Из 64 мест 54 имеют лексический мостик (общую редкую лемму или две леммы подряд), а 10 не имеют: «Содом» как нарицательное имя, богословский архетип, указание на книгу целиком, биографическое сведение. Достижимый потолок для текстового метода составляет около 89 %. Отчёт приводит обе цифры: полноту от всех записей и полноту от записей с мостиком.</w:t>
      </w:r>
    </w:p>
    <w:p>
      <w:pPr>
        <w:pStyle w:val="Heading2"/>
      </w:pPr>
      <w:r>
        <w:t>4.5. Перенос протокола на пять материалов</w:t>
      </w:r>
    </w:p>
    <w:p>
      <w:r>
        <w:t>На пяти материалах протокол находил реальные дефекты. Шаги 1, 2, 3 и 6 дали дефекты на каждом материале, шаги 4 и 5 только на исходном случае (таблица 5). Автоматически построенный эталон содержит много записей, не связанных с источником: от 15 до 62 % в ручных выборках по 40 записей. Независимая разметка воспроизводит метку «случайное совпадение» почти полностью, а граница между источником и фоном воспроизводится слабо (κ от 0,52 до 0,87). Проверка дословной цепочки лемм (не менее трёх подряд) снимала 84–91 % случайных записей.</w:t>
      </w:r>
    </w:p>
    <w:p>
      <w:pPr>
        <w:keepNext/>
        <w:spacing w:line="240" w:lineRule="auto" w:after="80" w:before="120"/>
        <w:ind w:firstLine="0"/>
        <w:jc w:val="left"/>
      </w:pPr>
      <w:r>
        <w:rPr>
          <w:sz w:val="24"/>
        </w:rPr>
        <w:t>Таблица 5. Результаты протокола на материалах A–E</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871"/>
        <w:gridCol w:w="1871"/>
        <w:gridCol w:w="1871"/>
        <w:gridCol w:w="1871"/>
        <w:gridCol w:w="1871"/>
      </w:tblGrid>
      <w:tr>
        <w:trPr>
          <w:tblHeader w:val="true"/>
          <w:cantSplit w:val="true"/>
        </w:trPr>
        <w:tc>
          <w:tcPr>
            <w:tcW w:type="dxa" w:w="1814"/>
            <w:shd w:val="clear" w:color="auto" w:fill="E7E7E7"/>
          </w:tcPr>
          <w:p>
            <w:pPr>
              <w:keepNext/>
              <w:spacing w:line="240" w:lineRule="auto"/>
              <w:ind w:firstLine="0"/>
              <w:jc w:val="center"/>
            </w:pPr>
            <w:r/>
            <w:r>
              <w:rPr>
                <w:b/>
                <w:sz w:val="21"/>
              </w:rPr>
              <w:t>Материал</w:t>
            </w:r>
          </w:p>
        </w:tc>
        <w:tc>
          <w:tcPr>
            <w:tcW w:type="dxa" w:w="2098"/>
            <w:shd w:val="clear" w:color="auto" w:fill="E7E7E7"/>
          </w:tcPr>
          <w:p>
            <w:pPr>
              <w:keepNext/>
              <w:spacing w:line="240" w:lineRule="auto"/>
              <w:ind w:firstLine="0"/>
              <w:jc w:val="center"/>
            </w:pPr>
            <w:r/>
            <w:r>
              <w:rPr>
                <w:b/>
                <w:sz w:val="21"/>
              </w:rPr>
              <w:t>Доля фона или случайных записей в выборке</w:t>
            </w:r>
          </w:p>
        </w:tc>
        <w:tc>
          <w:tcPr>
            <w:tcW w:type="dxa" w:w="1701"/>
            <w:shd w:val="clear" w:color="auto" w:fill="E7E7E7"/>
          </w:tcPr>
          <w:p>
            <w:pPr>
              <w:keepNext/>
              <w:spacing w:line="240" w:lineRule="auto"/>
              <w:ind w:firstLine="0"/>
              <w:jc w:val="center"/>
            </w:pPr>
            <w:r/>
            <w:r>
              <w:rPr>
                <w:b/>
                <w:sz w:val="21"/>
              </w:rPr>
              <w:t>κ разметчиков</w:t>
            </w:r>
          </w:p>
        </w:tc>
        <w:tc>
          <w:tcPr>
            <w:tcW w:type="dxa" w:w="1644"/>
            <w:shd w:val="clear" w:color="auto" w:fill="E7E7E7"/>
          </w:tcPr>
          <w:p>
            <w:pPr>
              <w:keepNext/>
              <w:spacing w:line="240" w:lineRule="auto"/>
              <w:ind w:firstLine="0"/>
              <w:jc w:val="center"/>
            </w:pPr>
            <w:r/>
            <w:r>
              <w:rPr>
                <w:b/>
                <w:sz w:val="21"/>
              </w:rPr>
              <w:t>Без текстового мостика (v1)</w:t>
            </w:r>
          </w:p>
        </w:tc>
        <w:tc>
          <w:tcPr>
            <w:tcW w:type="dxa" w:w="1531"/>
            <w:shd w:val="clear" w:color="auto" w:fill="E7E7E7"/>
          </w:tcPr>
          <w:p>
            <w:pPr>
              <w:keepNext/>
              <w:spacing w:line="240" w:lineRule="auto"/>
              <w:ind w:firstLine="0"/>
              <w:jc w:val="center"/>
            </w:pPr>
            <w:r/>
            <w:r>
              <w:rPr>
                <w:b/>
                <w:sz w:val="21"/>
              </w:rPr>
              <w:t>Реальное − плацебо (BM25), log-ранг</w:t>
            </w:r>
          </w:p>
        </w:tc>
      </w:tr>
      <w:tr>
        <w:trPr>
          <w:cantSplit w:val="true"/>
        </w:trPr>
        <w:tc>
          <w:tcPr>
            <w:tcW w:type="dxa" w:w="1814"/>
          </w:tcPr>
          <w:p>
            <w:pPr>
              <w:keepNext/>
              <w:spacing w:line="240" w:lineRule="auto"/>
              <w:ind w:firstLine="0"/>
              <w:jc w:val="left"/>
            </w:pPr>
            <w:r/>
            <w:r>
              <w:rPr>
                <w:b w:val="0"/>
                <w:sz w:val="21"/>
              </w:rPr>
              <w:t>C Баньян – KJV</w:t>
            </w:r>
          </w:p>
        </w:tc>
        <w:tc>
          <w:tcPr>
            <w:tcW w:type="dxa" w:w="2098"/>
          </w:tcPr>
          <w:p>
            <w:pPr>
              <w:keepNext/>
              <w:spacing w:line="240" w:lineRule="auto"/>
              <w:ind w:firstLine="0"/>
              <w:jc w:val="center"/>
            </w:pPr>
            <w:r/>
            <w:r>
              <w:rPr>
                <w:b w:val="0"/>
                <w:sz w:val="21"/>
              </w:rPr>
              <w:t>15–20 % (ещё 10 % не разобрано)</w:t>
            </w:r>
          </w:p>
        </w:tc>
        <w:tc>
          <w:tcPr>
            <w:tcW w:type="dxa" w:w="1701"/>
          </w:tcPr>
          <w:p>
            <w:pPr>
              <w:keepNext/>
              <w:spacing w:line="240" w:lineRule="auto"/>
              <w:ind w:firstLine="0"/>
              <w:jc w:val="center"/>
            </w:pPr>
            <w:r/>
            <w:r>
              <w:rPr>
                <w:b w:val="0"/>
                <w:sz w:val="21"/>
              </w:rPr>
              <w:t>0,74</w:t>
            </w:r>
          </w:p>
        </w:tc>
        <w:tc>
          <w:tcPr>
            <w:tcW w:type="dxa" w:w="1644"/>
          </w:tcPr>
          <w:p>
            <w:pPr>
              <w:keepNext/>
              <w:spacing w:line="240" w:lineRule="auto"/>
              <w:ind w:firstLine="0"/>
              <w:jc w:val="center"/>
            </w:pPr>
            <w:r/>
            <w:r>
              <w:rPr>
                <w:b w:val="0"/>
                <w:sz w:val="21"/>
              </w:rPr>
              <w:t>28–37 %</w:t>
            </w:r>
          </w:p>
        </w:tc>
        <w:tc>
          <w:tcPr>
            <w:tcW w:type="dxa" w:w="1531"/>
          </w:tcPr>
          <w:p>
            <w:pPr>
              <w:keepNext/>
              <w:spacing w:line="240" w:lineRule="auto"/>
              <w:ind w:firstLine="0"/>
              <w:jc w:val="center"/>
            </w:pPr>
            <w:r/>
            <w:r>
              <w:rPr>
                <w:b w:val="0"/>
                <w:sz w:val="21"/>
              </w:rPr>
              <w:t>−5,6</w:t>
            </w:r>
          </w:p>
        </w:tc>
      </w:tr>
      <w:tr>
        <w:trPr>
          <w:cantSplit w:val="true"/>
        </w:trPr>
        <w:tc>
          <w:tcPr>
            <w:tcW w:type="dxa" w:w="1814"/>
          </w:tcPr>
          <w:p>
            <w:pPr>
              <w:keepNext/>
              <w:spacing w:line="240" w:lineRule="auto"/>
              <w:ind w:firstLine="0"/>
              <w:jc w:val="left"/>
            </w:pPr>
            <w:r/>
            <w:r>
              <w:rPr>
                <w:b w:val="0"/>
                <w:sz w:val="21"/>
              </w:rPr>
              <w:t>A Мильтон – KJV</w:t>
            </w:r>
          </w:p>
        </w:tc>
        <w:tc>
          <w:tcPr>
            <w:tcW w:type="dxa" w:w="2098"/>
          </w:tcPr>
          <w:p>
            <w:pPr>
              <w:keepNext/>
              <w:spacing w:line="240" w:lineRule="auto"/>
              <w:ind w:firstLine="0"/>
              <w:jc w:val="center"/>
            </w:pPr>
            <w:r/>
            <w:r>
              <w:rPr>
                <w:b w:val="0"/>
                <w:sz w:val="21"/>
              </w:rPr>
              <w:t>25 %</w:t>
            </w:r>
          </w:p>
        </w:tc>
        <w:tc>
          <w:tcPr>
            <w:tcW w:type="dxa" w:w="1701"/>
          </w:tcPr>
          <w:p>
            <w:pPr>
              <w:keepNext/>
              <w:spacing w:line="240" w:lineRule="auto"/>
              <w:ind w:firstLine="0"/>
              <w:jc w:val="center"/>
            </w:pPr>
            <w:r/>
            <w:r>
              <w:rPr>
                <w:b w:val="0"/>
                <w:sz w:val="21"/>
              </w:rPr>
              <w:t>0,87</w:t>
            </w:r>
          </w:p>
        </w:tc>
        <w:tc>
          <w:tcPr>
            <w:tcW w:type="dxa" w:w="1644"/>
          </w:tcPr>
          <w:p>
            <w:pPr>
              <w:keepNext/>
              <w:spacing w:line="240" w:lineRule="auto"/>
              <w:ind w:firstLine="0"/>
              <w:jc w:val="center"/>
            </w:pPr>
            <w:r/>
            <w:r>
              <w:rPr>
                <w:b w:val="0"/>
                <w:sz w:val="21"/>
              </w:rPr>
              <w:t>18–36 %</w:t>
            </w:r>
          </w:p>
        </w:tc>
        <w:tc>
          <w:tcPr>
            <w:tcW w:type="dxa" w:w="1531"/>
          </w:tcPr>
          <w:p>
            <w:pPr>
              <w:keepNext/>
              <w:spacing w:line="240" w:lineRule="auto"/>
              <w:ind w:firstLine="0"/>
              <w:jc w:val="center"/>
            </w:pPr>
            <w:r/>
            <w:r>
              <w:rPr>
                <w:b w:val="0"/>
                <w:sz w:val="21"/>
              </w:rPr>
              <w:t>−2,2</w:t>
            </w:r>
          </w:p>
        </w:tc>
      </w:tr>
      <w:tr>
        <w:trPr>
          <w:cantSplit w:val="true"/>
        </w:trPr>
        <w:tc>
          <w:tcPr>
            <w:tcW w:type="dxa" w:w="1814"/>
          </w:tcPr>
          <w:p>
            <w:pPr>
              <w:keepNext/>
              <w:spacing w:line="240" w:lineRule="auto"/>
              <w:ind w:firstLine="0"/>
              <w:jc w:val="left"/>
            </w:pPr>
            <w:r/>
            <w:r>
              <w:rPr>
                <w:b w:val="0"/>
                <w:sz w:val="21"/>
              </w:rPr>
              <w:t>D «Онегин»</w:t>
            </w:r>
          </w:p>
        </w:tc>
        <w:tc>
          <w:tcPr>
            <w:tcW w:type="dxa" w:w="2098"/>
          </w:tcPr>
          <w:p>
            <w:pPr>
              <w:keepNext/>
              <w:spacing w:line="240" w:lineRule="auto"/>
              <w:ind w:firstLine="0"/>
              <w:jc w:val="center"/>
            </w:pPr>
            <w:r/>
            <w:r>
              <w:rPr>
                <w:b w:val="0"/>
                <w:sz w:val="21"/>
              </w:rPr>
              <w:t>25 % (случайные)</w:t>
            </w:r>
          </w:p>
        </w:tc>
        <w:tc>
          <w:tcPr>
            <w:tcW w:type="dxa" w:w="1701"/>
          </w:tcPr>
          <w:p>
            <w:pPr>
              <w:keepNext/>
              <w:spacing w:line="240" w:lineRule="auto"/>
              <w:ind w:firstLine="0"/>
              <w:jc w:val="center"/>
            </w:pPr>
            <w:r/>
            <w:r>
              <w:rPr>
                <w:b w:val="0"/>
                <w:sz w:val="21"/>
              </w:rPr>
              <w:t>0,52</w:t>
            </w:r>
          </w:p>
        </w:tc>
        <w:tc>
          <w:tcPr>
            <w:tcW w:type="dxa" w:w="1644"/>
          </w:tcPr>
          <w:p>
            <w:pPr>
              <w:keepNext/>
              <w:spacing w:line="240" w:lineRule="auto"/>
              <w:ind w:firstLine="0"/>
              <w:jc w:val="center"/>
            </w:pPr>
            <w:r/>
            <w:r>
              <w:rPr>
                <w:b w:val="0"/>
                <w:sz w:val="21"/>
              </w:rPr>
              <w:t>63 %</w:t>
            </w:r>
          </w:p>
        </w:tc>
        <w:tc>
          <w:tcPr>
            <w:tcW w:type="dxa" w:w="1531"/>
          </w:tcPr>
          <w:p>
            <w:pPr>
              <w:keepNext/>
              <w:spacing w:line="240" w:lineRule="auto"/>
              <w:ind w:firstLine="0"/>
              <w:jc w:val="center"/>
            </w:pPr>
            <w:r/>
            <w:r>
              <w:rPr>
                <w:b w:val="0"/>
                <w:sz w:val="21"/>
              </w:rPr>
              <w:t>−0,76</w:t>
            </w:r>
          </w:p>
        </w:tc>
      </w:tr>
      <w:tr>
        <w:trPr>
          <w:cantSplit w:val="true"/>
        </w:trPr>
        <w:tc>
          <w:tcPr>
            <w:tcW w:type="dxa" w:w="1814"/>
          </w:tcPr>
          <w:p>
            <w:pPr>
              <w:keepNext/>
              <w:spacing w:line="240" w:lineRule="auto"/>
              <w:ind w:firstLine="0"/>
              <w:jc w:val="left"/>
            </w:pPr>
            <w:r/>
            <w:r>
              <w:rPr>
                <w:b w:val="0"/>
                <w:sz w:val="21"/>
              </w:rPr>
              <w:t>B Мильтон – классики</w:t>
            </w:r>
          </w:p>
        </w:tc>
        <w:tc>
          <w:tcPr>
            <w:tcW w:type="dxa" w:w="2098"/>
          </w:tcPr>
          <w:p>
            <w:pPr>
              <w:keepNext/>
              <w:spacing w:line="240" w:lineRule="auto"/>
              <w:ind w:firstLine="0"/>
              <w:jc w:val="center"/>
            </w:pPr>
            <w:r/>
            <w:r>
              <w:rPr>
                <w:b w:val="0"/>
                <w:sz w:val="21"/>
              </w:rPr>
              <w:t>35 %</w:t>
            </w:r>
          </w:p>
        </w:tc>
        <w:tc>
          <w:tcPr>
            <w:tcW w:type="dxa" w:w="1701"/>
          </w:tcPr>
          <w:p>
            <w:pPr>
              <w:keepNext/>
              <w:spacing w:line="240" w:lineRule="auto"/>
              <w:ind w:firstLine="0"/>
              <w:jc w:val="center"/>
            </w:pPr>
            <w:r/>
            <w:r>
              <w:rPr>
                <w:b w:val="0"/>
                <w:sz w:val="21"/>
              </w:rPr>
              <w:t>0,56</w:t>
            </w:r>
          </w:p>
        </w:tc>
        <w:tc>
          <w:tcPr>
            <w:tcW w:type="dxa" w:w="1644"/>
          </w:tcPr>
          <w:p>
            <w:pPr>
              <w:keepNext/>
              <w:spacing w:line="240" w:lineRule="auto"/>
              <w:ind w:firstLine="0"/>
              <w:jc w:val="center"/>
            </w:pPr>
            <w:r/>
            <w:r>
              <w:rPr>
                <w:b w:val="0"/>
                <w:sz w:val="21"/>
              </w:rPr>
              <w:t>53 %</w:t>
            </w:r>
          </w:p>
        </w:tc>
        <w:tc>
          <w:tcPr>
            <w:tcW w:type="dxa" w:w="1531"/>
          </w:tcPr>
          <w:p>
            <w:pPr>
              <w:keepNext/>
              <w:spacing w:line="240" w:lineRule="auto"/>
              <w:ind w:firstLine="0"/>
              <w:jc w:val="center"/>
            </w:pPr>
            <w:r/>
            <w:r>
              <w:rPr>
                <w:b w:val="0"/>
                <w:sz w:val="21"/>
              </w:rPr>
              <w:t>−0,4</w:t>
            </w:r>
          </w:p>
        </w:tc>
      </w:tr>
      <w:tr>
        <w:trPr>
          <w:cantSplit w:val="true"/>
        </w:trPr>
        <w:tc>
          <w:tcPr>
            <w:tcW w:type="dxa" w:w="1814"/>
          </w:tcPr>
          <w:p>
            <w:pPr>
              <w:spacing w:line="240" w:lineRule="auto"/>
              <w:ind w:firstLine="0"/>
              <w:jc w:val="left"/>
            </w:pPr>
            <w:r/>
            <w:r>
              <w:rPr>
                <w:b w:val="0"/>
                <w:sz w:val="21"/>
              </w:rPr>
              <w:t>E «Двенадцать стульев»</w:t>
            </w:r>
          </w:p>
        </w:tc>
        <w:tc>
          <w:tcPr>
            <w:tcW w:type="dxa" w:w="2098"/>
          </w:tcPr>
          <w:p>
            <w:pPr>
              <w:spacing w:line="240" w:lineRule="auto"/>
              <w:ind w:firstLine="0"/>
              <w:jc w:val="center"/>
            </w:pPr>
            <w:r/>
            <w:r>
              <w:rPr>
                <w:b w:val="0"/>
                <w:sz w:val="21"/>
              </w:rPr>
              <w:t>62 % (случайные)</w:t>
            </w:r>
          </w:p>
        </w:tc>
        <w:tc>
          <w:tcPr>
            <w:tcW w:type="dxa" w:w="1701"/>
          </w:tcPr>
          <w:p>
            <w:pPr>
              <w:spacing w:line="240" w:lineRule="auto"/>
              <w:ind w:firstLine="0"/>
              <w:jc w:val="center"/>
            </w:pPr>
            <w:r/>
            <w:r>
              <w:rPr>
                <w:b w:val="0"/>
                <w:sz w:val="21"/>
              </w:rPr>
              <w:t>0,62</w:t>
            </w:r>
          </w:p>
        </w:tc>
        <w:tc>
          <w:tcPr>
            <w:tcW w:type="dxa" w:w="1644"/>
          </w:tcPr>
          <w:p>
            <w:pPr>
              <w:spacing w:line="240" w:lineRule="auto"/>
              <w:ind w:firstLine="0"/>
              <w:jc w:val="center"/>
            </w:pPr>
            <w:r/>
            <w:r>
              <w:rPr>
                <w:b w:val="0"/>
                <w:sz w:val="21"/>
              </w:rPr>
              <w:t>66 %</w:t>
            </w:r>
          </w:p>
        </w:tc>
        <w:tc>
          <w:tcPr>
            <w:tcW w:type="dxa" w:w="1531"/>
          </w:tcPr>
          <w:p>
            <w:pPr>
              <w:spacing w:line="240" w:lineRule="auto"/>
              <w:ind w:firstLine="0"/>
              <w:jc w:val="center"/>
            </w:pPr>
            <w:r/>
            <w:r>
              <w:rPr>
                <w:b w:val="0"/>
                <w:sz w:val="21"/>
              </w:rPr>
              <w:t>−0,03</w:t>
            </w:r>
          </w:p>
        </w:tc>
      </w:tr>
    </w:tbl>
    <w:p>
      <w:pPr>
        <w:spacing w:line="240" w:lineRule="auto" w:after="0" w:before="60"/>
        <w:ind w:firstLine="0"/>
        <w:jc w:val="both"/>
      </w:pPr>
      <w:r>
        <w:rPr>
          <w:sz w:val="22"/>
        </w:rPr>
        <w:t>Примечание. Отрицательное значение означает, что реальный ранг лучше ранга плацебо; ноль означает отсутствие сигнала.</w:t>
      </w:r>
    </w:p>
    <w:p>
      <w:pPr>
        <w:spacing w:line="240" w:lineRule="auto" w:after="80"/>
        <w:ind w:firstLine="0"/>
      </w:pPr>
    </w:p>
    <w:p>
      <w:r>
        <w:t>Главный результат переноса состоит в зависимости выигрыша от дословности связи (рис. 3). Над плацебо метод выигрывает на материале C с цитатами автора (−5,6), заметно меньше на научных примечаниях Лаксона (−2,2), ещё меньше на «Онегине» (−0,76) и на классиках в переводах (−0,4) и не выигрывает вовсе на «Двенадцати стульях» (−0,03). Лексические, плотные (e5-large, bge-m3, sbert_ru) и языковые признаки теряют сигнал вместе, и плотные скореры не лучше BM25 ни на одном материале.</w:t>
      </w:r>
    </w:p>
    <w:p>
      <w:pPr>
        <w:keepNext/>
        <w:spacing w:line="240" w:lineRule="auto" w:before="120"/>
        <w:ind w:firstLine="0"/>
        <w:jc w:val="center"/>
      </w:pPr>
      <w:r>
        <w:drawing>
          <wp:inline xmlns:a="http://schemas.openxmlformats.org/drawingml/2006/main" xmlns:pic="http://schemas.openxmlformats.org/drawingml/2006/picture">
            <wp:extent cx="5220000" cy="2684571"/>
            <wp:docPr id="3" name="Picture 3"/>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220000" cy="2684571"/>
                    </a:xfrm>
                    <a:prstGeom prst="rect"/>
                  </pic:spPr>
                </pic:pic>
              </a:graphicData>
            </a:graphic>
          </wp:inline>
        </w:drawing>
      </w:r>
    </w:p>
    <w:p>
      <w:pPr>
        <w:spacing w:line="240" w:lineRule="auto" w:after="200"/>
        <w:ind w:firstLine="0"/>
        <w:jc w:val="center"/>
      </w:pPr>
      <w:r>
        <w:rPr>
          <w:sz w:val="24"/>
        </w:rPr>
        <w:t>Рис. 3. Выигрыш BM25 над плацебо по материалам (по убыванию дословности связи)</w:t>
      </w:r>
    </w:p>
    <w:p>
      <w:r>
        <w:t>Плацебо при переносе не равнялось случайности. На материале B скорер BM25 ставил книгу «Илиады» первой для 62 % абзацев; после очистки источника от сносок и предисловий доля снизилась до 12,5 %. Выигрыш над случайностью на материале B составлял 1,59, над плацебо 0,37, то есть на 77 % меньше. На материале A выигрыш снизился с 3,2 до 2,2 (−31 %). Следовательно, оценка относительно случайности завышает эффект, и корректной считается разность с плацебо. На материале E наивный ранг (5,4) выглядел лучше случайного (7,8), но разность с плацебо равна нулю, и сигнала нет.</w:t>
      </w:r>
    </w:p>
    <w:p>
      <w:pPr>
        <w:pStyle w:val="Heading2"/>
      </w:pPr>
      <w:r>
        <w:t>4.6. Языковые модели</w:t>
      </w:r>
    </w:p>
    <w:p>
      <w:r>
        <w:t>Судья на основе языковой модели показал оценку 0,52 на обманках типа A и 0,53 на золотых парах, то есть не различил верный стих и самый правдоподобный неверный. Обманки типов B, C и R он отсекал. Вердикт нестабилен: доля перекидываний при температуре 0,7 составила 12 % у золотых пар и 19 % у обманок A. На русском материале D AUC против обманок равнялась 0,46, на материале E ответы были пусты или называли сам роман. Проверка цитат подстрокой снимает 33–86 % «цитат» как выдуманные. Без жёстких обманок судья выглядел бы рабочим: сырая AUC против случайных стихов 0,85. Роль судьи ограничена фильтром мусора.</w:t>
      </w:r>
    </w:p>
    <w:p>
      <w:r>
        <w:t>Признак surprisal, найденный на 64 местах «Преступления и наказания», на независимых данных показал тот же знак эффекта: Δ log-ранга −0,27 и −0,14 (p = 0,16 и 0,24) на «Братьях Карамазовых», −0,89 и −0,49 (p = 0,0017 и 0,082) на трёх других романах. Предзаданное правило, требующее значимости для обеих моделей, не выполнено, и статус результата «не подтверждено». Различие между статусами «не подтверждено» и «опровергнуто» принципиально: при столь малых выборках ни то, ни другое утверждение не доказано.</w:t>
      </w:r>
    </w:p>
    <w:p>
      <w:pPr>
        <w:pStyle w:val="Heading1"/>
      </w:pPr>
      <w:r>
        <w:t>5. ОБСУЖДЕНИЕ</w:t>
      </w:r>
    </w:p>
    <w:p>
      <w:r>
        <w:t>Результаты согласуются с зарубежными наблюдениями в нескольких пунктах. Умеренный прирост от распределительной семантики и сильное влияние способа задания запроса, о которых сообщают Манхавакас и соавторы [26], сопоставимы с нашими результатами по единице сопоставления: предложение вместо абзаца и стих вместо пассажа дали больший эффект, чем смена кодировщика. Ограничения больших языковых моделей, описанные для библейского греческого [27], воспроизведены на русском и английском материале: судья пригоден для отсева и непригоден как признак. Нейросетевые представления применяются на латинском и древнегреческом материале [23, 24], однако при слабой дословности связи, как на материале E, в наших данных они не лучше лексического базового уровня.</w:t>
      </w:r>
    </w:p>
    <w:p>
      <w:r>
        <w:t>Для российской области результат состоит в двух пунктах. Во-первых, комментарий исследователя пригоден как эталон лишь после фильтрации: автоматическое построение по комментариям Лотмана и Щеглова дало соответственно 36 и 113 снятых записей из 85 и 189, а в очищенном эталоне Щеглова остаётся значительная доля случайных (24–41 % при выборке из 17 записей). Во-вторых, русский материал показал слабый выигрыш над плацебо (D −0,76, E −0,03); ограничение относится к материалу и непригодности метода не доказывает. Комментарии Лотмана и Щеглова нацелены на образные и стилевые связи, которые лексика не берёт. Для материала с явными цитатами, как у Баньяна, выигрыш на порядок выше. Возможный путь для российской науки: целенаправленно собирать эталоны с дословными параллелями и публиковать их как наборы данных.</w:t>
      </w:r>
    </w:p>
    <w:p>
      <w:r>
        <w:t>Практические рекомендации следуют из совокупности шагов. Результат метода выдаётся эксперту в виде шортлиста на абзац, а порог не выбирается. В отчёте приводятся строка «только длина» и контроль на абзацах равной длины. Полнота указывается дважды: от всех записей и от записей с мостиком. Выигрыш измеряется над плацебо. Эталон проверяется до модели. Протокол записывается с числовыми определениями, иначе им не сможет воспользоваться другой исполнитель.</w:t>
      </w:r>
    </w:p>
    <w:p>
      <w:pPr>
        <w:pStyle w:val="Heading1"/>
      </w:pPr>
      <w:r>
        <w:t>6. ОГРАНИЧЕНИЯ</w:t>
      </w:r>
    </w:p>
    <w:p>
      <w:r>
        <w:t>Универсальность протокола не заявляется. Он выведен из одного случая (Достоевский и Синодальная Библия) и проверен на пяти материалах двух языков. Два русских материала малы (18 и 26 записей множества протокола), русского эталона нужного типа и размера в открытом доступе обнаружено не было. Материалы A и B делят целевой текст и составителя эталона. Ручная разметка выполнена автором; независимые исполнители шагов и второй разметчик были сессиями языковой модели, людей среди них не было, поэтому независимость частична, и шаг 3 воспроизведён с допуском на одну запись хуже заявленного. Плотные скореры использовали одну стратегию окон, судья представлен одной моделью и одним промптом. Оценка точности ограничена отсутствием размеченных непозитивов. Выборки малы: 64 места исходного случая дают доверительные интервалы шириной в сотни рангов, поэтому многие различия показывают направление эффекта, а величина эффекта остаётся неопределённой.</w:t>
      </w:r>
    </w:p>
    <w:p>
      <w:pPr>
        <w:pStyle w:val="Heading1"/>
      </w:pPr>
      <w:r>
        <w:t>ЗАКЛЮЧЕНИЕ</w:t>
      </w:r>
    </w:p>
    <w:p>
      <w:r>
        <w:t>Обнаружение интертекстуальных связей при неполном эталоне допускает надёжную оценку только при явной калибровке. На данных репозитория Intertext показано, что длина абзаца может предсказывать эталон лучше любого слоя признаков, что потолок признака ограничивает полноту сильнее, чем настройка порогов, что единица сопоставления и размер шортлиста влияют сильнее, чем смена модели, и что выигрыш над плацебо убывает с 5,6 до 0,03 при снижении дословности связи. Эталон-комментарий требует проверки: от 15 до 62 % его автоматически построенных записей отсылают к фону или случайны. Семь шагов протокола находили дефекты на каждом из пяти материалов, а по итогам проверки протокол пересмотрен до шестой версии. Для российской науки направление дальнейшей работы связано с созданием размеченных наборов связей с дословным ядром и с применением описанных проверок к русским комментариям.</w:t>
      </w:r>
    </w:p>
    <w:p>
      <w:r>
        <w:t>Доступность данных. Скрипты, таблицы результатов и протокол размещены в репозитории [46]. Тексты комментариев не публикуются по причине авторских прав; воспроизведение выполняется скриптами загрузки.</w:t>
      </w:r>
    </w:p>
    <w:p>
      <w:r>
        <w:t>Финансирование и конфликт интересов. [Указать автору при необходимости.]</w:t>
      </w:r>
    </w:p>
    <w:p>
      <w:pPr>
        <w:pStyle w:val="Heading1"/>
      </w:pPr>
      <w:r>
        <w:t>СПИСОК ЛИТЕРАТУРЫ</w:t>
      </w:r>
    </w:p>
    <w:p>
      <w:pPr>
        <w:spacing w:line="276" w:lineRule="auto" w:after="60"/>
        <w:ind w:left="510" w:hanging="510"/>
        <w:jc w:val="left"/>
      </w:pPr>
      <w:r>
        <w:rPr>
          <w:sz w:val="24"/>
        </w:rPr>
        <w:t>1. Лотман Ю. М. Роман А. С. Пушкина «Евгений Онегин»: комментарий. Л.: Просвещение, 1980. 416 с.</w:t>
      </w:r>
    </w:p>
    <w:p>
      <w:pPr>
        <w:spacing w:line="276" w:lineRule="auto" w:after="60"/>
        <w:ind w:left="510" w:hanging="510"/>
        <w:jc w:val="left"/>
      </w:pPr>
      <w:r>
        <w:rPr>
          <w:sz w:val="24"/>
        </w:rPr>
        <w:t>2. Щеглов Ю. К. Романы И. Ильфа и Е. Петрова: спутник читателя. Т. 1: «Двенадцать стульев». Wien: Gesellschaft zur Förderung slawistischer Studien, 1990. (Wiener Slawistischer Almanach. Sonderband 26/1).</w:t>
      </w:r>
    </w:p>
    <w:p>
      <w:pPr>
        <w:spacing w:line="276" w:lineRule="auto" w:after="60"/>
        <w:ind w:left="510" w:hanging="510"/>
        <w:jc w:val="left"/>
      </w:pPr>
      <w:r>
        <w:rPr>
          <w:sz w:val="24"/>
        </w:rPr>
        <w:t>3. Тихомиров Б. Н. «Лазарь! гряди вон»: роман Ф. М. Достоевского «Преступление и наказание» в современном прочтении: книга-комментарий. СПб.: Серебряный век, 2005.</w:t>
      </w:r>
    </w:p>
    <w:p>
      <w:pPr>
        <w:spacing w:line="276" w:lineRule="auto" w:after="60"/>
        <w:ind w:left="510" w:hanging="510"/>
        <w:jc w:val="left"/>
      </w:pPr>
      <w:r>
        <w:rPr>
          <w:sz w:val="24"/>
        </w:rPr>
        <w:t>4. Kristeva J. Desire in Language: A Semiotic Approach to Literature and Art / ed. by L. S. Roudiez. New York: Columbia University Press, 1980.</w:t>
      </w:r>
    </w:p>
    <w:p>
      <w:pPr>
        <w:spacing w:line="276" w:lineRule="auto" w:after="60"/>
        <w:ind w:left="510" w:hanging="510"/>
        <w:jc w:val="left"/>
      </w:pPr>
      <w:r>
        <w:rPr>
          <w:sz w:val="24"/>
        </w:rPr>
        <w:t>5. Бахтин М. М. Эстетика словесного творчества. М.: Искусство, 1979. 424 с.</w:t>
      </w:r>
    </w:p>
    <w:p>
      <w:pPr>
        <w:spacing w:line="276" w:lineRule="auto" w:after="60"/>
        <w:ind w:left="510" w:hanging="510"/>
        <w:jc w:val="left"/>
      </w:pPr>
      <w:r>
        <w:rPr>
          <w:sz w:val="24"/>
        </w:rPr>
        <w:t>6. Genette G. Palimpsestes: la littérature au second degré. Paris: Seuil, 1982.</w:t>
      </w:r>
    </w:p>
    <w:p>
      <w:pPr>
        <w:spacing w:line="276" w:lineRule="auto" w:after="60"/>
        <w:ind w:left="510" w:hanging="510"/>
        <w:jc w:val="left"/>
      </w:pPr>
      <w:r>
        <w:rPr>
          <w:sz w:val="24"/>
        </w:rPr>
        <w:t>7. Riffaterre M. Semiotics of Poetry. Bloomington: Indiana University Press, 1978.</w:t>
      </w:r>
    </w:p>
    <w:p>
      <w:pPr>
        <w:spacing w:line="276" w:lineRule="auto" w:after="60"/>
        <w:ind w:left="510" w:hanging="510"/>
        <w:jc w:val="left"/>
      </w:pPr>
      <w:r>
        <w:rPr>
          <w:sz w:val="24"/>
        </w:rPr>
        <w:t>8. Hinds S. Allusion and Intertext: Dynamics of Appropriation in Roman Poetry. Cambridge: Cambridge University Press, 1998.</w:t>
      </w:r>
    </w:p>
    <w:p>
      <w:pPr>
        <w:spacing w:line="276" w:lineRule="auto" w:after="60"/>
        <w:ind w:left="510" w:hanging="510"/>
        <w:jc w:val="left"/>
      </w:pPr>
      <w:r>
        <w:rPr>
          <w:sz w:val="24"/>
        </w:rPr>
        <w:t>9. Тарановский К. Ф. О поэзии и поэтике. М.: Языки русской культуры, 2000.</w:t>
      </w:r>
    </w:p>
    <w:p>
      <w:pPr>
        <w:spacing w:line="276" w:lineRule="auto" w:after="60"/>
        <w:ind w:left="510" w:hanging="510"/>
        <w:jc w:val="left"/>
      </w:pPr>
      <w:r>
        <w:rPr>
          <w:sz w:val="24"/>
        </w:rPr>
        <w:t>10. Смирнов И. П. Порождение интертекста: элементы интертекстуального анализа с примерами из творчества Б. Л. Пастернака. СПб.: Алетейя, 1995.</w:t>
      </w:r>
    </w:p>
    <w:p>
      <w:pPr>
        <w:spacing w:line="276" w:lineRule="auto" w:after="60"/>
        <w:ind w:left="510" w:hanging="510"/>
        <w:jc w:val="left"/>
      </w:pPr>
      <w:r>
        <w:rPr>
          <w:sz w:val="24"/>
        </w:rPr>
        <w:t>11. Ямпольский М. Б. Память Тиресия: интертекстуальность и кинематограф. М.: РИК «Культура», 1993.</w:t>
      </w:r>
    </w:p>
    <w:p>
      <w:pPr>
        <w:spacing w:line="276" w:lineRule="auto" w:after="60"/>
        <w:ind w:left="510" w:hanging="510"/>
        <w:jc w:val="left"/>
      </w:pPr>
      <w:r>
        <w:rPr>
          <w:sz w:val="24"/>
        </w:rPr>
        <w:t>12. Фатеева Н. А. Контрапункт интертекстуальности, или Интертекст в мире текстов. М.: Агар, 2000. 280 с.</w:t>
      </w:r>
    </w:p>
    <w:p>
      <w:pPr>
        <w:spacing w:line="276" w:lineRule="auto" w:after="60"/>
        <w:ind w:left="510" w:hanging="510"/>
        <w:jc w:val="left"/>
      </w:pPr>
      <w:r>
        <w:rPr>
          <w:sz w:val="24"/>
        </w:rPr>
        <w:t>13. Lee J. A computational model of text reuse in ancient literary texts // Proceedings of the 45th Annual Meeting of the Association for Computational Linguistics. Prague: ACL, 2007. P. 472–479.</w:t>
      </w:r>
    </w:p>
    <w:p>
      <w:pPr>
        <w:spacing w:line="276" w:lineRule="auto" w:after="60"/>
        <w:ind w:left="510" w:hanging="510"/>
        <w:jc w:val="left"/>
      </w:pPr>
      <w:r>
        <w:rPr>
          <w:sz w:val="24"/>
        </w:rPr>
        <w:t>14. Bamman D., Crane G. The logic and discovery of textual allusion // Proceedings of the 2nd Workshop on Language Technology for Cultural Heritage Data (LaTeCH 2008). Marrakech: LREC, 2008.</w:t>
      </w:r>
    </w:p>
    <w:p>
      <w:pPr>
        <w:spacing w:line="276" w:lineRule="auto" w:after="60"/>
        <w:ind w:left="510" w:hanging="510"/>
        <w:jc w:val="left"/>
      </w:pPr>
      <w:r>
        <w:rPr>
          <w:sz w:val="24"/>
        </w:rPr>
        <w:t>15. Coffee N., Koenig J.-P., Poornima S., Ossewaarde R., Forstall C., Jacobson S. Intertextuality in the digital age // Transactions of the American Philological Association. 2012. Vol. 142, no. 2. P. 383–422.</w:t>
      </w:r>
    </w:p>
    <w:p>
      <w:pPr>
        <w:spacing w:line="276" w:lineRule="auto" w:after="60"/>
        <w:ind w:left="510" w:hanging="510"/>
        <w:jc w:val="left"/>
      </w:pPr>
      <w:r>
        <w:rPr>
          <w:sz w:val="24"/>
        </w:rPr>
        <w:t>16. Coffee N., Koenig J.-P., Poornima S., Forstall C., Ossewaarde R., Jacobson S. The Tesserae Project: intertextual analysis of Latin poetry // Literary and Linguistic Computing. 2013. Vol. 28, no. 2. P. 221–228.</w:t>
      </w:r>
    </w:p>
    <w:p>
      <w:pPr>
        <w:spacing w:line="276" w:lineRule="auto" w:after="60"/>
        <w:ind w:left="510" w:hanging="510"/>
        <w:jc w:val="left"/>
      </w:pPr>
      <w:r>
        <w:rPr>
          <w:sz w:val="24"/>
        </w:rPr>
        <w:t>17. Forstall C., Coffee N., Buck T., Roache K., Jacobson S. Modeling the scholars: detecting intertextuality through enhanced word-level n-gram matching // Digital Scholarship in the Humanities. 2015. Vol. 30, no. 4. P. 503–515.</w:t>
      </w:r>
    </w:p>
    <w:p>
      <w:pPr>
        <w:spacing w:line="276" w:lineRule="auto" w:after="60"/>
        <w:ind w:left="510" w:hanging="510"/>
        <w:jc w:val="left"/>
      </w:pPr>
      <w:r>
        <w:rPr>
          <w:sz w:val="24"/>
        </w:rPr>
        <w:t>18. Scheirer W., Forstall C., Coffee N. The sense of a connection: automatic tracing of intertextuality by meaning // Digital Scholarship in the Humanities. 2016. Vol. 31, no. 1. P. 204–217.</w:t>
      </w:r>
    </w:p>
    <w:p>
      <w:pPr>
        <w:spacing w:line="276" w:lineRule="auto" w:after="60"/>
        <w:ind w:left="510" w:hanging="510"/>
        <w:jc w:val="left"/>
      </w:pPr>
      <w:r>
        <w:rPr>
          <w:sz w:val="24"/>
        </w:rPr>
        <w:t>19. Büchler M., Burns P. R., Müller M., Franzini E., Franzini G. Towards a historical text re-use detection // Text Mining: From Ontology Learning to Automated Text Processing Applications / ed. by C. Biemann, A. Mehler. Cham: Springer, 2014. P. 221–238.</w:t>
      </w:r>
    </w:p>
    <w:p>
      <w:pPr>
        <w:spacing w:line="276" w:lineRule="auto" w:after="60"/>
        <w:ind w:left="510" w:hanging="510"/>
        <w:jc w:val="left"/>
      </w:pPr>
      <w:r>
        <w:rPr>
          <w:sz w:val="24"/>
        </w:rPr>
        <w:t>20. Moritz M., Wiederhold A., Pavlek B., Bizzoni Y., Büchler M. Non-literal text reuse in historical texts: an approach to identify reuse transformations and its application to Bible reuse // Proceedings of the 2016 Conference on Empirical Methods in Natural Language Processing. Austin: ACL, 2016.</w:t>
      </w:r>
    </w:p>
    <w:p>
      <w:pPr>
        <w:spacing w:line="276" w:lineRule="auto" w:after="60"/>
        <w:ind w:left="510" w:hanging="510"/>
        <w:jc w:val="left"/>
      </w:pPr>
      <w:r>
        <w:rPr>
          <w:sz w:val="24"/>
        </w:rPr>
        <w:t>21. Smith D. A., Cordell R., Dillon E. M. Infectious texts: modeling text reuse in nineteenth-century newspapers // Proceedings of the 2013 IEEE International Conference on Big Data. Silicon Valley: IEEE, 2013.</w:t>
      </w:r>
    </w:p>
    <w:p>
      <w:pPr>
        <w:spacing w:line="276" w:lineRule="auto" w:after="60"/>
        <w:ind w:left="510" w:hanging="510"/>
        <w:jc w:val="left"/>
      </w:pPr>
      <w:r>
        <w:rPr>
          <w:sz w:val="24"/>
        </w:rPr>
        <w:t>22. Ganascia J.-G., Glaudes P., Del Lungo A. Automatic detection of reuses and citations in literary texts // arXiv preprint. 2014. arXiv:1404.2997. URL: https://arxiv.org/abs/1404.2997 (дата обращения: 06.10.2026).</w:t>
      </w:r>
    </w:p>
    <w:p>
      <w:pPr>
        <w:spacing w:line="276" w:lineRule="auto" w:after="60"/>
        <w:ind w:left="510" w:hanging="510"/>
        <w:jc w:val="left"/>
      </w:pPr>
      <w:r>
        <w:rPr>
          <w:sz w:val="24"/>
        </w:rPr>
        <w:t>23. Burns P. J., Brofos J. A., Li K., Chaudhuri P., Dexter J. P. Profiling of intertextuality in Latin literature using word embeddings // Proceedings of the 2021 Conference of the North American Chapter of the Association for Computational Linguistics: Human Language Technologies. ACL, 2021. P. 4900–4907.</w:t>
      </w:r>
    </w:p>
    <w:p>
      <w:pPr>
        <w:spacing w:line="276" w:lineRule="auto" w:after="60"/>
        <w:ind w:left="510" w:hanging="510"/>
        <w:jc w:val="left"/>
      </w:pPr>
      <w:r>
        <w:rPr>
          <w:sz w:val="24"/>
        </w:rPr>
        <w:t>24. Riemenschneider F., Frank A. Graecia capta ferum victorem cepit. Detecting Latin allusions to ancient Greek literature // Proceedings of the First Workshop on Ancient Language Processing. 2023. URL: https://arxiv.org/abs/2308.12008 (дата обращения: 06.10.2026).</w:t>
      </w:r>
    </w:p>
    <w:p>
      <w:pPr>
        <w:spacing w:line="276" w:lineRule="auto" w:after="60"/>
        <w:ind w:left="510" w:hanging="510"/>
        <w:jc w:val="left"/>
      </w:pPr>
      <w:r>
        <w:rPr>
          <w:sz w:val="24"/>
        </w:rPr>
        <w:t>25. Liebl B., Burghardt M. «Shakespeare in the Vectorian Age»: an evaluation of different word embeddings and NLP parameters for the detection of Shakespeare quotes // Proceedings of the 4th Joint SIGHUM Workshop on Computational Linguistics for Cultural Heritage, Social Sciences, Humanities and Literature. ACL, 2020. P. 58–68.</w:t>
      </w:r>
    </w:p>
    <w:p>
      <w:pPr>
        <w:spacing w:line="276" w:lineRule="auto" w:after="60"/>
        <w:ind w:left="510" w:hanging="510"/>
        <w:jc w:val="left"/>
      </w:pPr>
      <w:r>
        <w:rPr>
          <w:sz w:val="24"/>
        </w:rPr>
        <w:t>26. Manjavacas E., Long B., Kestemont M. On the feasibility of automated detection of allusive text reuse // Proceedings of the 3rd Joint SIGHUM Workshop on Computational Linguistics for Cultural Heritage, Social Sciences, Humanities and Literature. Minneapolis: ACL, 2019. URL: https://aclanthology.org/W19-2514 (дата обращения: 06.10.2026).</w:t>
      </w:r>
    </w:p>
    <w:p>
      <w:pPr>
        <w:spacing w:line="276" w:lineRule="auto" w:after="60"/>
        <w:ind w:left="510" w:hanging="510"/>
        <w:jc w:val="left"/>
      </w:pPr>
      <w:r>
        <w:rPr>
          <w:sz w:val="24"/>
        </w:rPr>
        <w:t>27. Umphrey R., Roberts J., Roberts L. Investigating expert-in-the-loop LLM discourse patterns for ancient intertextual analysis // arXiv preprint. 2024. arXiv:2409.01882. URL: https://arxiv.org/abs/2409.01882 (дата обращения: 06.10.2026).</w:t>
      </w:r>
    </w:p>
    <w:p>
      <w:pPr>
        <w:spacing w:line="276" w:lineRule="auto" w:after="60"/>
        <w:ind w:left="510" w:hanging="510"/>
        <w:jc w:val="left"/>
      </w:pPr>
      <w:r>
        <w:rPr>
          <w:sz w:val="24"/>
        </w:rPr>
        <w:t>28. Schelb J., Wittweiler M., Revellio M., Feichtinger B., Spitz A. Loci Similes: a benchmark for extracting intertextualities in Latin literature // arXiv preprint. 2026. arXiv:2601.07533. URL: https://arxiv.org/abs/2601.07533 (дата обращения: 06.10.2026).</w:t>
      </w:r>
    </w:p>
    <w:p>
      <w:pPr>
        <w:spacing w:line="276" w:lineRule="auto" w:after="60"/>
        <w:ind w:left="510" w:hanging="510"/>
        <w:jc w:val="left"/>
      </w:pPr>
      <w:r>
        <w:rPr>
          <w:sz w:val="24"/>
        </w:rPr>
        <w:t>29. Barré J. Latent structures of intertextuality in French fiction // Computational Humanities Research Conference 2024. 2024. URL: https://arxiv.org/abs/2410.17759 (дата обращения: 06.10.2026).</w:t>
      </w:r>
    </w:p>
    <w:p>
      <w:pPr>
        <w:spacing w:line="276" w:lineRule="auto" w:after="60"/>
        <w:ind w:left="510" w:hanging="510"/>
        <w:jc w:val="left"/>
      </w:pPr>
      <w:r>
        <w:rPr>
          <w:sz w:val="24"/>
        </w:rPr>
        <w:t>30. Duan S. Quantitative intertextuality from the digital humanities perspective: a survey // arXiv preprint. 2025. arXiv:2510.27045. URL: https://arxiv.org/abs/2510.27045 (дата обращения: 06.10.2026).</w:t>
      </w:r>
    </w:p>
    <w:p>
      <w:pPr>
        <w:spacing w:line="276" w:lineRule="auto" w:after="60"/>
        <w:ind w:left="510" w:hanging="510"/>
        <w:jc w:val="left"/>
      </w:pPr>
      <w:r>
        <w:rPr>
          <w:sz w:val="24"/>
        </w:rPr>
        <w:t>31. Национальный корпус русского языка [Электронный ресурс]. URL: https://ruscorpora.ru (дата обращения: 06.10.2026).</w:t>
      </w:r>
    </w:p>
    <w:p>
      <w:pPr>
        <w:spacing w:line="276" w:lineRule="auto" w:after="60"/>
        <w:ind w:left="510" w:hanging="510"/>
        <w:jc w:val="left"/>
      </w:pPr>
      <w:r>
        <w:rPr>
          <w:sz w:val="24"/>
        </w:rPr>
        <w:t>32. Аванесян Н. Л., Губина О. В., Чеповский А. М. Применение вычислительных методов корпусного анализа к исследованию текстов литературных произведений // Труды Института системного анализа Российской академии наук. 2024. Т. 74, № 2. С. 25–32. DOI: 10.14357/20790279240204.</w:t>
      </w:r>
    </w:p>
    <w:p>
      <w:pPr>
        <w:spacing w:line="276" w:lineRule="auto" w:after="60"/>
        <w:ind w:left="510" w:hanging="510"/>
        <w:jc w:val="left"/>
      </w:pPr>
      <w:r>
        <w:rPr>
          <w:sz w:val="24"/>
        </w:rPr>
        <w:t>33. Орехов Б. В. Цитирование текстов В. С. Высоцкого в текстах современных наивных поэтов // Филология. Теория и практика. 2013. № 11, ч. 2. URL: https://philology-journal.ru/article/phil20131837/pdf (дата обращения: 06.10.2026).</w:t>
      </w:r>
    </w:p>
    <w:p>
      <w:pPr>
        <w:spacing w:line="276" w:lineRule="auto" w:after="60"/>
        <w:ind w:left="510" w:hanging="510"/>
        <w:jc w:val="left"/>
      </w:pPr>
      <w:r>
        <w:rPr>
          <w:sz w:val="24"/>
        </w:rPr>
        <w:t>34. Tyshkevich N. Automatic quotation detection in Russian nonfiction texts // Digital Humanities 2016: Conference Abstracts. Kraków: Jagiellonian University &amp; Pedagogical University, 2016. URL: https://dh2016.adho.org/abstracts/241 (дата обращения: 06.10.2026).</w:t>
      </w:r>
    </w:p>
    <w:p>
      <w:pPr>
        <w:spacing w:line="276" w:lineRule="auto" w:after="60"/>
        <w:ind w:left="510" w:hanging="510"/>
        <w:jc w:val="left"/>
      </w:pPr>
      <w:r>
        <w:rPr>
          <w:sz w:val="24"/>
        </w:rPr>
        <w:t>35. The Milton Reading Room / ed. by T. H. Luxon [Electronic resource]. Hanover: Dartmouth College. URL: https://milton.host.dartmouth.edu/reading_room/ (дата обращения: 06.10.2026).</w:t>
      </w:r>
    </w:p>
    <w:p>
      <w:pPr>
        <w:spacing w:line="276" w:lineRule="auto" w:after="60"/>
        <w:ind w:left="510" w:hanging="510"/>
        <w:jc w:val="left"/>
      </w:pPr>
      <w:r>
        <w:rPr>
          <w:sz w:val="24"/>
        </w:rPr>
        <w:t>36. Gusev I. Corpus of Russian poetry (PoetryCorpus) [Electronic resource]. URL: https://github.com/IlyaGusev/PoetryCorpus (дата обращения: 06.10.2026).</w:t>
      </w:r>
    </w:p>
    <w:p>
      <w:pPr>
        <w:spacing w:line="276" w:lineRule="auto" w:after="60"/>
        <w:ind w:left="510" w:hanging="510"/>
        <w:jc w:val="left"/>
      </w:pPr>
      <w:r>
        <w:rPr>
          <w:sz w:val="24"/>
        </w:rPr>
        <w:t>37. Korobov M. Morphological analyzer and generator for Russian and Ukrainian languages // Analysis of Images, Social Networks and Texts (AIST 2015): Communications in Computer and Information Science. Vol. 542. Cham: Springer, 2015. P. 320–332.</w:t>
      </w:r>
    </w:p>
    <w:p>
      <w:pPr>
        <w:spacing w:line="276" w:lineRule="auto" w:after="60"/>
        <w:ind w:left="510" w:hanging="510"/>
        <w:jc w:val="left"/>
      </w:pPr>
      <w:r>
        <w:rPr>
          <w:sz w:val="24"/>
        </w:rPr>
        <w:t>38. Wang L., Yang N., Huang X., Yang L., Majumder R., Wei F. Multilingual E5 text embeddings: a technical report // arXiv preprint. 2024. arXiv:2402.05672.</w:t>
      </w:r>
    </w:p>
    <w:p>
      <w:pPr>
        <w:spacing w:line="276" w:lineRule="auto" w:after="60"/>
        <w:ind w:left="510" w:hanging="510"/>
        <w:jc w:val="left"/>
      </w:pPr>
      <w:r>
        <w:rPr>
          <w:sz w:val="24"/>
        </w:rPr>
        <w:t>39. OpenBible.info. Bible cross references [Electronic resource]. URL: https://www.openbible.info/labs/cross-references/ (дата обращения: 06.10.2026).</w:t>
      </w:r>
    </w:p>
    <w:p>
      <w:pPr>
        <w:spacing w:line="276" w:lineRule="auto" w:after="60"/>
        <w:ind w:left="510" w:hanging="510"/>
        <w:jc w:val="left"/>
      </w:pPr>
      <w:r>
        <w:rPr>
          <w:sz w:val="24"/>
        </w:rPr>
        <w:t>40. Spärck Jones K. A statistical interpretation of term specificity and its application in retrieval // Journal of Documentation. 1972. Vol. 28, no. 1. P. 11–21.</w:t>
      </w:r>
    </w:p>
    <w:p>
      <w:pPr>
        <w:spacing w:line="276" w:lineRule="auto" w:after="60"/>
        <w:ind w:left="510" w:hanging="510"/>
        <w:jc w:val="left"/>
      </w:pPr>
      <w:r>
        <w:rPr>
          <w:sz w:val="24"/>
        </w:rPr>
        <w:t>41. Robertson S., Zaragoza H. The probabilistic relevance framework: BM25 and beyond // Foundations and Trends in Information Retrieval. 2009. Vol. 3, no. 4. P. 333–389.</w:t>
      </w:r>
    </w:p>
    <w:p>
      <w:pPr>
        <w:spacing w:line="276" w:lineRule="auto" w:after="60"/>
        <w:ind w:left="510" w:hanging="510"/>
        <w:jc w:val="left"/>
      </w:pPr>
      <w:r>
        <w:rPr>
          <w:sz w:val="24"/>
        </w:rPr>
        <w:t>42. Efron B., Tibshirani R. J. An Introduction to the Bootstrap. New York: Chapman &amp; Hall, 1993.</w:t>
      </w:r>
    </w:p>
    <w:p>
      <w:pPr>
        <w:spacing w:line="276" w:lineRule="auto" w:after="60"/>
        <w:ind w:left="510" w:hanging="510"/>
        <w:jc w:val="left"/>
      </w:pPr>
      <w:r>
        <w:rPr>
          <w:sz w:val="24"/>
        </w:rPr>
        <w:t>43. Wilson E. B. Probable inference, the law of succession, and statistical inference // Journal of the American Statistical Association. 1927. Vol. 22, no. 158. P. 209–212.</w:t>
      </w:r>
    </w:p>
    <w:p>
      <w:pPr>
        <w:spacing w:line="276" w:lineRule="auto" w:after="60"/>
        <w:ind w:left="510" w:hanging="510"/>
        <w:jc w:val="left"/>
      </w:pPr>
      <w:r>
        <w:rPr>
          <w:sz w:val="24"/>
        </w:rPr>
        <w:t>44. Cohen J. A coefficient of agreement for nominal scales // Educational and Psychological Measurement. 1960. Vol. 20, no. 1. P. 37–46.</w:t>
      </w:r>
    </w:p>
    <w:p>
      <w:pPr>
        <w:spacing w:line="276" w:lineRule="auto" w:after="60"/>
        <w:ind w:left="510" w:hanging="510"/>
        <w:jc w:val="left"/>
      </w:pPr>
      <w:r>
        <w:rPr>
          <w:sz w:val="24"/>
        </w:rPr>
        <w:t>45. Holm S. A simple sequentially rejective multiple test procedure // Scandinavian Journal of Statistics. 1979. Vol. 6, no. 2. P. 65–70.</w:t>
      </w:r>
    </w:p>
    <w:p>
      <w:pPr>
        <w:spacing w:line="276" w:lineRule="auto" w:after="60"/>
        <w:ind w:left="510" w:hanging="510"/>
        <w:jc w:val="left"/>
      </w:pPr>
      <w:r>
        <w:rPr>
          <w:sz w:val="24"/>
        </w:rPr>
        <w:t>46. Intertext: калиброванное обнаружение текстовых заимствований [Электронный ресурс]. URL: https://github.com/plutonneplaneta/intertext (дата обращения: 06.10.2026).</w:t>
      </w:r>
    </w:p>
    <w:p>
      <w:pPr>
        <w:pStyle w:val="Heading1"/>
      </w:pPr>
      <w:r>
        <w:t>REFERENCES</w:t>
      </w:r>
    </w:p>
    <w:p>
      <w:pPr>
        <w:spacing w:line="276" w:lineRule="auto" w:after="60"/>
        <w:ind w:left="510" w:hanging="510"/>
        <w:jc w:val="left"/>
      </w:pPr>
      <w:r>
        <w:rPr>
          <w:sz w:val="24"/>
        </w:rPr>
        <w:t>1. Lotman Yu. M. Roman A. S. Pushkina «Evgenii Onegin»: kommentarii [A. S. Pushkin's Novel «Eugene Onegin»: A Commentary]. Leningrad, Prosveshchenie Publ., 1980. 416 p. (In Russ.)</w:t>
      </w:r>
    </w:p>
    <w:p>
      <w:pPr>
        <w:spacing w:line="276" w:lineRule="auto" w:after="60"/>
        <w:ind w:left="510" w:hanging="510"/>
        <w:jc w:val="left"/>
      </w:pPr>
      <w:r>
        <w:rPr>
          <w:sz w:val="24"/>
        </w:rPr>
        <w:t>2. Shcheglov Yu. K. Romany I. Il'fa i E. Petrova: sputnik chitatelya. T. 1: «Dvenadtsat' stul'ev» [The Novels of I. Ilf and E. Petrov: A Reader's Companion. Vol. 1: «The Twelve Chairs»]. Wien, Gesellschaft zur Förderung slawistischer Studien, 1990. (Wiener Slawistischer Almanach. Sonderband 26/1). (In Russ.)</w:t>
      </w:r>
    </w:p>
    <w:p>
      <w:pPr>
        <w:spacing w:line="276" w:lineRule="auto" w:after="60"/>
        <w:ind w:left="510" w:hanging="510"/>
        <w:jc w:val="left"/>
      </w:pPr>
      <w:r>
        <w:rPr>
          <w:sz w:val="24"/>
        </w:rPr>
        <w:t>3. Tikhomirov B. N. «Lazar'! gryadi von»: roman F. M. Dostoevskogo «Prestuplenie i nakazanie» v sovremennom prochtenii: kniga-kommentarii [«Lazarus! Come Forth»: F. M. Dostoevsky's Novel «Crime and Punishment» in a Contemporary Reading: A Commentary]. St. Petersburg, Serebryanyi vek Publ., 2005. (In Russ.)</w:t>
      </w:r>
    </w:p>
    <w:p>
      <w:pPr>
        <w:spacing w:line="276" w:lineRule="auto" w:after="60"/>
        <w:ind w:left="510" w:hanging="510"/>
        <w:jc w:val="left"/>
      </w:pPr>
      <w:r>
        <w:rPr>
          <w:sz w:val="24"/>
        </w:rPr>
        <w:t>4. Kristeva J. Desire in Language: A Semiotic Approach to Literature and Art. Ed. by L. S. Roudiez. New York, Columbia University Press, 1980.</w:t>
      </w:r>
    </w:p>
    <w:p>
      <w:pPr>
        <w:spacing w:line="276" w:lineRule="auto" w:after="60"/>
        <w:ind w:left="510" w:hanging="510"/>
        <w:jc w:val="left"/>
      </w:pPr>
      <w:r>
        <w:rPr>
          <w:sz w:val="24"/>
        </w:rPr>
        <w:t>5. Bakhtin M. M. Estetika slovesnogo tvorchestva [Aesthetics of Verbal Art]. Moscow, Iskusstvo Publ., 1979. 424 p. (In Russ.)</w:t>
      </w:r>
    </w:p>
    <w:p>
      <w:pPr>
        <w:spacing w:line="276" w:lineRule="auto" w:after="60"/>
        <w:ind w:left="510" w:hanging="510"/>
        <w:jc w:val="left"/>
      </w:pPr>
      <w:r>
        <w:rPr>
          <w:sz w:val="24"/>
        </w:rPr>
        <w:t>6. Genette G. Palimpsestes: la littérature au second degré. Paris, Seuil, 1982.</w:t>
      </w:r>
    </w:p>
    <w:p>
      <w:pPr>
        <w:spacing w:line="276" w:lineRule="auto" w:after="60"/>
        <w:ind w:left="510" w:hanging="510"/>
        <w:jc w:val="left"/>
      </w:pPr>
      <w:r>
        <w:rPr>
          <w:sz w:val="24"/>
        </w:rPr>
        <w:t>7. Riffaterre M. Semiotics of Poetry. Bloomington, Indiana University Press, 1978.</w:t>
      </w:r>
    </w:p>
    <w:p>
      <w:pPr>
        <w:spacing w:line="276" w:lineRule="auto" w:after="60"/>
        <w:ind w:left="510" w:hanging="510"/>
        <w:jc w:val="left"/>
      </w:pPr>
      <w:r>
        <w:rPr>
          <w:sz w:val="24"/>
        </w:rPr>
        <w:t>8. Hinds S. Allusion and Intertext: Dynamics of Appropriation in Roman Poetry. Cambridge, Cambridge University Press, 1998.</w:t>
      </w:r>
    </w:p>
    <w:p>
      <w:pPr>
        <w:spacing w:line="276" w:lineRule="auto" w:after="60"/>
        <w:ind w:left="510" w:hanging="510"/>
        <w:jc w:val="left"/>
      </w:pPr>
      <w:r>
        <w:rPr>
          <w:sz w:val="24"/>
        </w:rPr>
        <w:t>9. Taranovskii K. F. O poezii i poetike [On Poetry and Poetics]. Moscow, Yazyki russkoi kul'tury Publ., 2000. (In Russ.)</w:t>
      </w:r>
    </w:p>
    <w:p>
      <w:pPr>
        <w:spacing w:line="276" w:lineRule="auto" w:after="60"/>
        <w:ind w:left="510" w:hanging="510"/>
        <w:jc w:val="left"/>
      </w:pPr>
      <w:r>
        <w:rPr>
          <w:sz w:val="24"/>
        </w:rPr>
        <w:t>10. Smirnov I. P. Porozhdenie interteksta: elementy intertekstual'nogo analiza s primerami iz tvorchestva B. L. Pasternaka [Generating Intertext: Elements of Intertextual Analysis with Examples from B. L. Pasternak's Works]. St. Petersburg, Aleteiya Publ., 1995. (In Russ.)</w:t>
      </w:r>
    </w:p>
    <w:p>
      <w:pPr>
        <w:spacing w:line="276" w:lineRule="auto" w:after="60"/>
        <w:ind w:left="510" w:hanging="510"/>
        <w:jc w:val="left"/>
      </w:pPr>
      <w:r>
        <w:rPr>
          <w:sz w:val="24"/>
        </w:rPr>
        <w:t>11. Yampol'skii M. B. Pamyat' Tiresiya: intertekstual'nost' i kinematograf [The Memory of Tiresias: Intertextuality and Cinema]. Moscow, RIK «Kul'tura» Publ., 1993. (In Russ.)</w:t>
      </w:r>
    </w:p>
    <w:p>
      <w:pPr>
        <w:spacing w:line="276" w:lineRule="auto" w:after="60"/>
        <w:ind w:left="510" w:hanging="510"/>
        <w:jc w:val="left"/>
      </w:pPr>
      <w:r>
        <w:rPr>
          <w:sz w:val="24"/>
        </w:rPr>
        <w:t>12. Fateeva N. A. Kontrapunkt intertekstual'nosti, ili Intertekst v mire tekstov [Counterpoint of Intertextuality, or Intertext in the World of Texts]. Moscow, Agar Publ., 2000. 280 p. (In Russ.)</w:t>
      </w:r>
    </w:p>
    <w:p>
      <w:pPr>
        <w:spacing w:line="276" w:lineRule="auto" w:after="60"/>
        <w:ind w:left="510" w:hanging="510"/>
        <w:jc w:val="left"/>
      </w:pPr>
      <w:r>
        <w:rPr>
          <w:sz w:val="24"/>
        </w:rPr>
        <w:t>13. Lee J. A computational model of text reuse in ancient literary texts. Proceedings of the 45th Annual Meeting of the Association for Computational Linguistics. Prague, ACL, 2007, pp. 472–479.</w:t>
      </w:r>
    </w:p>
    <w:p>
      <w:pPr>
        <w:spacing w:line="276" w:lineRule="auto" w:after="60"/>
        <w:ind w:left="510" w:hanging="510"/>
        <w:jc w:val="left"/>
      </w:pPr>
      <w:r>
        <w:rPr>
          <w:sz w:val="24"/>
        </w:rPr>
        <w:t>14. Bamman D., Crane G. The logic and discovery of textual allusion. Proceedings of the 2nd Workshop on Language Technology for Cultural Heritage Data (LaTeCH 2008). Marrakech, LREC, 2008.</w:t>
      </w:r>
    </w:p>
    <w:p>
      <w:pPr>
        <w:spacing w:line="276" w:lineRule="auto" w:after="60"/>
        <w:ind w:left="510" w:hanging="510"/>
        <w:jc w:val="left"/>
      </w:pPr>
      <w:r>
        <w:rPr>
          <w:sz w:val="24"/>
        </w:rPr>
        <w:t>15. Coffee N., Koenig J.-P., Poornima S., Ossewaarde R., Forstall C., Jacobson S. Intertextuality in the digital age. Transactions of the American Philological Association, 2012, vol. 142, no. 2, pp. 383–422.</w:t>
      </w:r>
    </w:p>
    <w:p>
      <w:pPr>
        <w:spacing w:line="276" w:lineRule="auto" w:after="60"/>
        <w:ind w:left="510" w:hanging="510"/>
        <w:jc w:val="left"/>
      </w:pPr>
      <w:r>
        <w:rPr>
          <w:sz w:val="24"/>
        </w:rPr>
        <w:t>16. Coffee N., Koenig J.-P., Poornima S., Forstall C., Ossewaarde R., Jacobson S. The Tesserae Project: intertextual analysis of Latin poetry. Literary and Linguistic Computing, 2013, vol. 28, no. 2, pp. 221–228.</w:t>
      </w:r>
    </w:p>
    <w:p>
      <w:pPr>
        <w:spacing w:line="276" w:lineRule="auto" w:after="60"/>
        <w:ind w:left="510" w:hanging="510"/>
        <w:jc w:val="left"/>
      </w:pPr>
      <w:r>
        <w:rPr>
          <w:sz w:val="24"/>
        </w:rPr>
        <w:t>17. Forstall C., Coffee N., Buck T., Roache K., Jacobson S. Modeling the scholars: detecting intertextuality through enhanced word-level n-gram matching. Digital Scholarship in the Humanities, 2015, vol. 30, no. 4, pp. 503–515.</w:t>
      </w:r>
    </w:p>
    <w:p>
      <w:pPr>
        <w:spacing w:line="276" w:lineRule="auto" w:after="60"/>
        <w:ind w:left="510" w:hanging="510"/>
        <w:jc w:val="left"/>
      </w:pPr>
      <w:r>
        <w:rPr>
          <w:sz w:val="24"/>
        </w:rPr>
        <w:t>18. Scheirer W., Forstall C., Coffee N. The sense of a connection: automatic tracing of intertextuality by meaning. Digital Scholarship in the Humanities, 2016, vol. 31, no. 1, pp. 204–217.</w:t>
      </w:r>
    </w:p>
    <w:p>
      <w:pPr>
        <w:spacing w:line="276" w:lineRule="auto" w:after="60"/>
        <w:ind w:left="510" w:hanging="510"/>
        <w:jc w:val="left"/>
      </w:pPr>
      <w:r>
        <w:rPr>
          <w:sz w:val="24"/>
        </w:rPr>
        <w:t>19. Büchler M., Burns P. R., Müller M., Franzini E., Franzini G. Towards a historical text re-use detection. Text Mining: From Ontology Learning to Automated Text Processing Applications. Ed. by C. Biemann, A. Mehler. Cham, Springer, 2014, pp. 221–238.</w:t>
      </w:r>
    </w:p>
    <w:p>
      <w:pPr>
        <w:spacing w:line="276" w:lineRule="auto" w:after="60"/>
        <w:ind w:left="510" w:hanging="510"/>
        <w:jc w:val="left"/>
      </w:pPr>
      <w:r>
        <w:rPr>
          <w:sz w:val="24"/>
        </w:rPr>
        <w:t>20. Moritz M., Wiederhold A., Pavlek B., Bizzoni Y., Büchler M. Non-literal text reuse in historical texts: an approach to identify reuse transformations and its application to Bible reuse. Proceedings of the 2016 Conference on Empirical Methods in Natural Language Processing. Austin, ACL, 2016.</w:t>
      </w:r>
    </w:p>
    <w:p>
      <w:pPr>
        <w:spacing w:line="276" w:lineRule="auto" w:after="60"/>
        <w:ind w:left="510" w:hanging="510"/>
        <w:jc w:val="left"/>
      </w:pPr>
      <w:r>
        <w:rPr>
          <w:sz w:val="24"/>
        </w:rPr>
        <w:t>21. Smith D. A., Cordell R., Dillon E. M. Infectious texts: modeling text reuse in nineteenth-century newspapers. Proceedings of the 2013 IEEE International Conference on Big Data. Silicon Valley, IEEE, 2013.</w:t>
      </w:r>
    </w:p>
    <w:p>
      <w:pPr>
        <w:spacing w:line="276" w:lineRule="auto" w:after="60"/>
        <w:ind w:left="510" w:hanging="510"/>
        <w:jc w:val="left"/>
      </w:pPr>
      <w:r>
        <w:rPr>
          <w:sz w:val="24"/>
        </w:rPr>
        <w:t>22. Ganascia J.-G., Glaudes P., Del Lungo A. Automatic detection of reuses and citations in literary texts. arXiv preprint, 2014, arXiv:1404.2997. Available at: https://arxiv.org/abs/1404.2997 (accessed 06.10.2026).</w:t>
      </w:r>
    </w:p>
    <w:p>
      <w:pPr>
        <w:spacing w:line="276" w:lineRule="auto" w:after="60"/>
        <w:ind w:left="510" w:hanging="510"/>
        <w:jc w:val="left"/>
      </w:pPr>
      <w:r>
        <w:rPr>
          <w:sz w:val="24"/>
        </w:rPr>
        <w:t>23. Burns P. J., Brofos J. A., Li K., Chaudhuri P., Dexter J. P. Profiling of intertextuality in Latin literature using word embeddings. Proceedings of the 2021 Conference of the North American Chapter of the Association for Computational Linguistics: Human Language Technologies. ACL, 2021, pp. 4900–4907.</w:t>
      </w:r>
    </w:p>
    <w:p>
      <w:pPr>
        <w:spacing w:line="276" w:lineRule="auto" w:after="60"/>
        <w:ind w:left="510" w:hanging="510"/>
        <w:jc w:val="left"/>
      </w:pPr>
      <w:r>
        <w:rPr>
          <w:sz w:val="24"/>
        </w:rPr>
        <w:t>24. Riemenschneider F., Frank A. Graecia capta ferum victorem cepit. Detecting Latin allusions to ancient Greek literature. Proceedings of the First Workshop on Ancient Language Processing, 2023. Available at: https://arxiv.org/abs/2308.12008 (accessed 06.10.2026).</w:t>
      </w:r>
    </w:p>
    <w:p>
      <w:pPr>
        <w:spacing w:line="276" w:lineRule="auto" w:after="60"/>
        <w:ind w:left="510" w:hanging="510"/>
        <w:jc w:val="left"/>
      </w:pPr>
      <w:r>
        <w:rPr>
          <w:sz w:val="24"/>
        </w:rPr>
        <w:t>25. Liebl B., Burghardt M. «Shakespeare in the Vectorian Age»: an evaluation of different word embeddings and NLP parameters for the detection of Shakespeare quotes. Proceedings of the 4th Joint SIGHUM Workshop on Computational Linguistics for Cultural Heritage, Social Sciences, Humanities and Literature. ACL, 2020, pp. 58–68.</w:t>
      </w:r>
    </w:p>
    <w:p>
      <w:pPr>
        <w:spacing w:line="276" w:lineRule="auto" w:after="60"/>
        <w:ind w:left="510" w:hanging="510"/>
        <w:jc w:val="left"/>
      </w:pPr>
      <w:r>
        <w:rPr>
          <w:sz w:val="24"/>
        </w:rPr>
        <w:t>26. Manjavacas E., Long B., Kestemont M. On the feasibility of automated detection of allusive text reuse. Proceedings of the 3rd Joint SIGHUM Workshop on Computational Linguistics for Cultural Heritage, Social Sciences, Humanities and Literature. Minneapolis, ACL, 2019. Available at: https://aclanthology.org/W19-2514 (accessed 06.10.2026).</w:t>
      </w:r>
    </w:p>
    <w:p>
      <w:pPr>
        <w:spacing w:line="276" w:lineRule="auto" w:after="60"/>
        <w:ind w:left="510" w:hanging="510"/>
        <w:jc w:val="left"/>
      </w:pPr>
      <w:r>
        <w:rPr>
          <w:sz w:val="24"/>
        </w:rPr>
        <w:t>27. Umphrey R., Roberts J., Roberts L. Investigating expert-in-the-loop LLM discourse patterns for ancient intertextual analysis. arXiv preprint, 2024, arXiv:2409.01882. Available at: https://arxiv.org/abs/2409.01882 (accessed 06.10.2026).</w:t>
      </w:r>
    </w:p>
    <w:p>
      <w:pPr>
        <w:spacing w:line="276" w:lineRule="auto" w:after="60"/>
        <w:ind w:left="510" w:hanging="510"/>
        <w:jc w:val="left"/>
      </w:pPr>
      <w:r>
        <w:rPr>
          <w:sz w:val="24"/>
        </w:rPr>
        <w:t>28. Schelb J., Wittweiler M., Revellio M., Feichtinger B., Spitz A. Loci Similes: a benchmark for extracting intertextualities in Latin literature. arXiv preprint, 2026, arXiv:2601.07533. Available at: https://arxiv.org/abs/2601.07533 (accessed 06.10.2026).</w:t>
      </w:r>
    </w:p>
    <w:p>
      <w:pPr>
        <w:spacing w:line="276" w:lineRule="auto" w:after="60"/>
        <w:ind w:left="510" w:hanging="510"/>
        <w:jc w:val="left"/>
      </w:pPr>
      <w:r>
        <w:rPr>
          <w:sz w:val="24"/>
        </w:rPr>
        <w:t>29. Barré J. Latent structures of intertextuality in French fiction. Computational Humanities Research Conference 2024, 2024. Available at: https://arxiv.org/abs/2410.17759 (accessed 06.10.2026).</w:t>
      </w:r>
    </w:p>
    <w:p>
      <w:pPr>
        <w:spacing w:line="276" w:lineRule="auto" w:after="60"/>
        <w:ind w:left="510" w:hanging="510"/>
        <w:jc w:val="left"/>
      </w:pPr>
      <w:r>
        <w:rPr>
          <w:sz w:val="24"/>
        </w:rPr>
        <w:t>30. Duan S. Quantitative intertextuality from the digital humanities perspective: a survey. arXiv preprint, 2025, arXiv:2510.27045. Available at: https://arxiv.org/abs/2510.27045 (accessed 06.10.2026).</w:t>
      </w:r>
    </w:p>
    <w:p>
      <w:pPr>
        <w:spacing w:line="276" w:lineRule="auto" w:after="60"/>
        <w:ind w:left="510" w:hanging="510"/>
        <w:jc w:val="left"/>
      </w:pPr>
      <w:r>
        <w:rPr>
          <w:sz w:val="24"/>
        </w:rPr>
        <w:t>31. Natsional'nyi korpus russkogo yazyka [Russian National Corpus]. Available at: https://ruscorpora.ru (accessed 06.10.2026). (In Russ.)</w:t>
      </w:r>
    </w:p>
    <w:p>
      <w:pPr>
        <w:spacing w:line="276" w:lineRule="auto" w:after="60"/>
        <w:ind w:left="510" w:hanging="510"/>
        <w:jc w:val="left"/>
      </w:pPr>
      <w:r>
        <w:rPr>
          <w:sz w:val="24"/>
        </w:rPr>
        <w:t>32. Avanesyan N. L., Gubina O. V., Chepovskii A. M. Primenenie vychislitel'nykh metodov korpusnogo analiza k issledovaniyu tekstov literaturnykh proizvedenii [Application of computational methods of corpus analysis to the study of literary texts]. Trudy Instituta sistemnogo analiza Rossiiskoi akademii nauk = Proceedings of the Institute for Systems Analysis of the Russian Academy of Sciences, 2024, vol. 74, no. 2, pp. 25–32. (In Russ.) DOI: 10.14357/20790279240204.</w:t>
      </w:r>
    </w:p>
    <w:p>
      <w:pPr>
        <w:spacing w:line="276" w:lineRule="auto" w:after="60"/>
        <w:ind w:left="510" w:hanging="510"/>
        <w:jc w:val="left"/>
      </w:pPr>
      <w:r>
        <w:rPr>
          <w:sz w:val="24"/>
        </w:rPr>
        <w:t>33. Orekhov B. V. Tsitirovanie tekstov V. S. Vysotskogo v tekstakh sovremennykh naivnykh poetov [V. S. Vysotsky's Texts Quoting in Texts of Modern Naive Poets]. Filologiya. Teoriya i praktika = Philology. Theory &amp; Practice, 2013, no. 11, part 2. Available at: https://philology-journal.ru/article/phil20131837/pdf (accessed 06.10.2026). (In Russ.)</w:t>
      </w:r>
    </w:p>
    <w:p>
      <w:pPr>
        <w:spacing w:line="276" w:lineRule="auto" w:after="60"/>
        <w:ind w:left="510" w:hanging="510"/>
        <w:jc w:val="left"/>
      </w:pPr>
      <w:r>
        <w:rPr>
          <w:sz w:val="24"/>
        </w:rPr>
        <w:t>34. Tyshkevich N. Automatic quotation detection in Russian nonfiction texts. Digital Humanities 2016: Conference Abstracts. Kraków, Jagiellonian University &amp; Pedagogical University, 2016. Available at: https://dh2016.adho.org/abstracts/241 (accessed 06.10.2026).</w:t>
      </w:r>
    </w:p>
    <w:p>
      <w:pPr>
        <w:spacing w:line="276" w:lineRule="auto" w:after="60"/>
        <w:ind w:left="510" w:hanging="510"/>
        <w:jc w:val="left"/>
      </w:pPr>
      <w:r>
        <w:rPr>
          <w:sz w:val="24"/>
        </w:rPr>
        <w:t>35. The Milton Reading Room. Ed. by T. H. Luxon. Hanover, Dartmouth College. Available at: https://milton.host.dartmouth.edu/reading_room/ (accessed 06.10.2026).</w:t>
      </w:r>
    </w:p>
    <w:p>
      <w:pPr>
        <w:spacing w:line="276" w:lineRule="auto" w:after="60"/>
        <w:ind w:left="510" w:hanging="510"/>
        <w:jc w:val="left"/>
      </w:pPr>
      <w:r>
        <w:rPr>
          <w:sz w:val="24"/>
        </w:rPr>
        <w:t>36. Gusev I. Corpus of Russian poetry (PoetryCorpus). Available at: https://github.com/IlyaGusev/PoetryCorpus (accessed 06.10.2026).</w:t>
      </w:r>
    </w:p>
    <w:p>
      <w:pPr>
        <w:spacing w:line="276" w:lineRule="auto" w:after="60"/>
        <w:ind w:left="510" w:hanging="510"/>
        <w:jc w:val="left"/>
      </w:pPr>
      <w:r>
        <w:rPr>
          <w:sz w:val="24"/>
        </w:rPr>
        <w:t>37. Korobov M. Morphological analyzer and generator for Russian and Ukrainian languages. Analysis of Images, Social Networks and Texts (AIST 2015): Communications in Computer and Information Science, vol. 542. Cham, Springer, 2015, pp. 320–332.</w:t>
      </w:r>
    </w:p>
    <w:p>
      <w:pPr>
        <w:spacing w:line="276" w:lineRule="auto" w:after="60"/>
        <w:ind w:left="510" w:hanging="510"/>
        <w:jc w:val="left"/>
      </w:pPr>
      <w:r>
        <w:rPr>
          <w:sz w:val="24"/>
        </w:rPr>
        <w:t>38. Wang L., Yang N., Huang X., Yang L., Majumder R., Wei F. Multilingual E5 text embeddings: a technical report. arXiv preprint, 2024, arXiv:2402.05672.</w:t>
      </w:r>
    </w:p>
    <w:p>
      <w:pPr>
        <w:spacing w:line="276" w:lineRule="auto" w:after="60"/>
        <w:ind w:left="510" w:hanging="510"/>
        <w:jc w:val="left"/>
      </w:pPr>
      <w:r>
        <w:rPr>
          <w:sz w:val="24"/>
        </w:rPr>
        <w:t>39. OpenBible.info. Bible cross references. Available at: https://www.openbible.info/labs/cross-references/ (accessed 06.10.2026).</w:t>
      </w:r>
    </w:p>
    <w:p>
      <w:pPr>
        <w:spacing w:line="276" w:lineRule="auto" w:after="60"/>
        <w:ind w:left="510" w:hanging="510"/>
        <w:jc w:val="left"/>
      </w:pPr>
      <w:r>
        <w:rPr>
          <w:sz w:val="24"/>
        </w:rPr>
        <w:t>40. Spärck Jones K. A statistical interpretation of term specificity and its application in retrieval. Journal of Documentation, 1972, vol. 28, no. 1, pp. 11–21.</w:t>
      </w:r>
    </w:p>
    <w:p>
      <w:pPr>
        <w:spacing w:line="276" w:lineRule="auto" w:after="60"/>
        <w:ind w:left="510" w:hanging="510"/>
        <w:jc w:val="left"/>
      </w:pPr>
      <w:r>
        <w:rPr>
          <w:sz w:val="24"/>
        </w:rPr>
        <w:t>41. Robertson S., Zaragoza H. The probabilistic relevance framework: BM25 and beyond. Foundations and Trends in Information Retrieval, 2009, vol. 3, no. 4, pp. 333–389.</w:t>
      </w:r>
    </w:p>
    <w:p>
      <w:pPr>
        <w:spacing w:line="276" w:lineRule="auto" w:after="60"/>
        <w:ind w:left="510" w:hanging="510"/>
        <w:jc w:val="left"/>
      </w:pPr>
      <w:r>
        <w:rPr>
          <w:sz w:val="24"/>
        </w:rPr>
        <w:t>42. Efron B., Tibshirani R. J. An Introduction to the Bootstrap. New York, Chapman &amp; Hall, 1993.</w:t>
      </w:r>
    </w:p>
    <w:p>
      <w:pPr>
        <w:spacing w:line="276" w:lineRule="auto" w:after="60"/>
        <w:ind w:left="510" w:hanging="510"/>
        <w:jc w:val="left"/>
      </w:pPr>
      <w:r>
        <w:rPr>
          <w:sz w:val="24"/>
        </w:rPr>
        <w:t>43. Wilson E. B. Probable inference, the law of succession, and statistical inference. Journal of the American Statistical Association, 1927, vol. 22, no. 158, pp. 209–212.</w:t>
      </w:r>
    </w:p>
    <w:p>
      <w:pPr>
        <w:spacing w:line="276" w:lineRule="auto" w:after="60"/>
        <w:ind w:left="510" w:hanging="510"/>
        <w:jc w:val="left"/>
      </w:pPr>
      <w:r>
        <w:rPr>
          <w:sz w:val="24"/>
        </w:rPr>
        <w:t>44. Cohen J. A coefficient of agreement for nominal scales. Educational and Psychological Measurement, 1960, vol. 20, no. 1, pp. 37–46.</w:t>
      </w:r>
    </w:p>
    <w:p>
      <w:pPr>
        <w:spacing w:line="276" w:lineRule="auto" w:after="60"/>
        <w:ind w:left="510" w:hanging="510"/>
        <w:jc w:val="left"/>
      </w:pPr>
      <w:r>
        <w:rPr>
          <w:sz w:val="24"/>
        </w:rPr>
        <w:t>45. Holm S. A simple sequentially rejective multiple test procedure. Scandinavian Journal of Statistics, 1979, vol. 6, no. 2, pp. 65–70.</w:t>
      </w:r>
    </w:p>
    <w:p>
      <w:pPr>
        <w:spacing w:line="276" w:lineRule="auto" w:after="60"/>
        <w:ind w:left="510" w:hanging="510"/>
        <w:jc w:val="left"/>
      </w:pPr>
      <w:r>
        <w:rPr>
          <w:sz w:val="24"/>
        </w:rPr>
        <w:t>46. Intertext: calibrated detection of textual borrowings. Available at: https://github.com/plutonneplaneta/intertext (accessed 06.10.2026). (In Russ.)</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imes New Roman" w:hAnsi="Times New Roman" w:cs="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cs="Times New Roman" w:eastAsia="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Методология автоматического обнаружения интертекстуальных связей при неполном эталоне</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