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line="276" w:lineRule="auto" w:before="0" w:after="120"/>
        <w:jc w:val="left"/>
      </w:pPr>
      <w:r>
        <w:rPr>
          <w:rFonts w:ascii="Times New Roman" w:hAnsi="Times New Roman" w:eastAsia="Times New Roman"/>
          <w:b/>
          <w:i w:val="0"/>
          <w:sz w:val="24"/>
        </w:rPr>
        <w:t>УДК 81'42:004.8</w:t>
      </w:r>
    </w:p>
    <w:p>
      <w:pPr>
        <w:keepNext w:val="0"/>
        <w:widowControl/>
        <w:spacing w:line="276" w:lineRule="auto" w:before="0" w:after="0"/>
        <w:jc w:val="left"/>
      </w:pPr>
      <w:r>
        <w:rPr>
          <w:rFonts w:ascii="Times New Roman" w:hAnsi="Times New Roman" w:eastAsia="Times New Roman"/>
          <w:b/>
          <w:i w:val="0"/>
          <w:sz w:val="24"/>
        </w:rPr>
        <w:t>[Фамилия И. О.]</w:t>
      </w:r>
    </w:p>
    <w:p>
      <w:pPr>
        <w:keepNext w:val="0"/>
        <w:widowControl/>
        <w:spacing w:line="276" w:lineRule="auto" w:before="0" w:after="0"/>
        <w:jc w:val="left"/>
      </w:pPr>
      <w:r>
        <w:rPr>
          <w:rFonts w:ascii="Times New Roman" w:hAnsi="Times New Roman" w:eastAsia="Times New Roman"/>
          <w:b w:val="0"/>
          <w:i w:val="0"/>
          <w:sz w:val="24"/>
        </w:rPr>
        <w:t>[Наименование организации, город, страна]</w:t>
      </w:r>
    </w:p>
    <w:p>
      <w:pPr>
        <w:keepNext w:val="0"/>
        <w:widowControl/>
        <w:spacing w:line="276" w:lineRule="auto" w:before="0" w:after="200"/>
        <w:jc w:val="left"/>
      </w:pPr>
      <w:r>
        <w:rPr>
          <w:rFonts w:ascii="Times New Roman" w:hAnsi="Times New Roman" w:eastAsia="Times New Roman"/>
          <w:b w:val="0"/>
          <w:i w:val="0"/>
          <w:sz w:val="24"/>
        </w:rPr>
        <w:t>[адрес электронной почты]</w:t>
      </w:r>
    </w:p>
    <w:p>
      <w:pPr>
        <w:keepNext w:val="0"/>
        <w:widowControl/>
        <w:spacing w:line="276" w:lineRule="auto" w:before="0" w:after="200"/>
        <w:jc w:val="center"/>
      </w:pPr>
      <w:r>
        <w:rPr>
          <w:rFonts w:ascii="Times New Roman" w:hAnsi="Times New Roman" w:eastAsia="Times New Roman"/>
          <w:b/>
          <w:i w:val="0"/>
          <w:sz w:val="24"/>
        </w:rPr>
        <w:t>МЕТОДОЛОГИЯ ОБНАРУЖЕНИЯ ИНТЕРТЕКСТУАЛЬНЫХ СВЯЗЕЙ: ОБЗОР ПОДХОДОВ И ПРОТОКОЛ КАЛИБРОВКИ ОЦЕНКИ</w:t>
      </w:r>
    </w:p>
    <w:p>
      <w:pPr>
        <w:keepNext w:val="0"/>
        <w:widowControl/>
        <w:spacing w:line="276" w:lineRule="auto" w:before="0" w:after="120"/>
        <w:jc w:val="both"/>
      </w:pPr>
      <w:r>
        <w:rPr>
          <w:rFonts w:ascii="Times New Roman" w:hAnsi="Times New Roman" w:eastAsia="Times New Roman"/>
          <w:b w:val="0"/>
          <w:i w:val="0"/>
          <w:sz w:val="24"/>
        </w:rPr>
        <w:t>Аннотация. Рассматриваются подходы к обнаружению интертекстуальных связей в российской и зарубежной науке и общенаучные требования к проверке таких методов. Сопоставлены теоретическая традиция (Бахтин, Кристева, Женетт, Риффатер, Тороп, Смирнов, Фатеева), российские филологические и лингвокультурологические исследования и вычислительные подходы к выявлению текстового повтора (Tesserae, eAQUA, Viral Texts и другие). Показано, что в российской литературе преобладают теория и типология интертекстуальных единиц, а алгоритмическое обнаружение с оценкой полноты на независимо размеченном эталоне в открытых источниках представлено слабо. Общенаучные принципы (конструктная валидность, согласие аннотаторов, независимая проверка, предрегистрация, поправка на множественные сравнения, контроль утечки данных) положены в основу семишагового протокола калибровки. Протокол выведен из опыта поиска библейских цитат в романе Ф. М. Достоевского «Преступление и наказание» и проверен на двух материалах: поэме Дж. Мильтона «Потерянный рай» в сопоставлении с английской Библией и с античной классикой в переводах. Применение протокола изменило оценки: средний выигрыш над случайным порядком составил 3,19 и 1,59, а над контролем-плацебо 2,21 и 0,37 соответственно. Выборки малы (от 64 до 390 записей), универсальность протокола не заявляется.</w:t>
      </w:r>
    </w:p>
    <w:p>
      <w:pPr>
        <w:keepNext w:val="0"/>
        <w:widowControl/>
        <w:spacing w:line="276" w:lineRule="auto" w:before="0" w:after="200"/>
        <w:jc w:val="both"/>
      </w:pPr>
      <w:r>
        <w:rPr>
          <w:rFonts w:ascii="Times New Roman" w:hAnsi="Times New Roman" w:eastAsia="Times New Roman"/>
          <w:b w:val="0"/>
          <w:i w:val="0"/>
          <w:sz w:val="24"/>
        </w:rPr>
        <w:t>Ключевые слова: интертекстуальность, текстовое заимствование, аллюзия, цитата, эталонная разметка, оценка полноты, воспроизводимость, цифровая филология, Достоевский, Библия.</w:t>
      </w:r>
    </w:p>
    <w:p>
      <w:pPr>
        <w:keepNext w:val="0"/>
        <w:widowControl/>
        <w:spacing w:line="276" w:lineRule="auto" w:before="0" w:after="120"/>
        <w:jc w:val="center"/>
      </w:pPr>
      <w:r>
        <w:rPr>
          <w:rFonts w:ascii="Times New Roman" w:hAnsi="Times New Roman" w:eastAsia="Times New Roman"/>
          <w:b/>
          <w:i w:val="0"/>
          <w:sz w:val="24"/>
        </w:rPr>
        <w:t>Methodology of Detecting Intertextual Links: A Review of Approaches and a Protocol for Calibrating Evaluation</w:t>
      </w:r>
    </w:p>
    <w:p>
      <w:pPr>
        <w:keepNext w:val="0"/>
        <w:widowControl/>
        <w:spacing w:line="276" w:lineRule="auto" w:before="0" w:after="120"/>
        <w:jc w:val="both"/>
      </w:pPr>
      <w:r>
        <w:rPr>
          <w:rFonts w:ascii="Times New Roman" w:hAnsi="Times New Roman" w:eastAsia="Times New Roman"/>
          <w:b w:val="0"/>
          <w:i w:val="0"/>
          <w:sz w:val="24"/>
        </w:rPr>
        <w:t>Abstract. The paper compares approaches to the detection of intertextual links in Russian and international scholarship and outlines general scientific requirements for validating such methods. Three bodies of work are contrasted: the theoretical tradition (Bakhtin, Kristeva, Genette, Riffaterre, Torop, Smirnov, Fateeva), Russian philological and linguocultural studies, and computational approaches to text reuse detection (Tesserae, eAQUA, Viral Texts and others). In the openly available literature, Russian studies are dominated by theory and typology of intertextual units, whereas algorithmic detection with recall measured against an independently annotated gold standard is scarcely represented. General principles (construct validity, inter-annotator agreement, independent testing, preregistration, correction for multiple comparisons, control of data leakage) underlie a seven-step calibration protocol. The protocol was derived from a search for biblical quotations in Dostoevsky's Crime and Punishment and tested on two further materials: Milton's Paradise Lost against the King James Bible and against classical authors in translation. Applying the protocol changed the estimates: the mean gain over random ordering was 3.19 and 1.59, and the gain over a placebo control was 2.21 and 0.37, respectively. Samples are small (64 to 390 records); universality of the protocol is not claimed.</w:t>
      </w:r>
    </w:p>
    <w:p>
      <w:pPr>
        <w:keepNext w:val="0"/>
        <w:widowControl/>
        <w:spacing w:line="276" w:lineRule="auto" w:before="0" w:after="200"/>
        <w:jc w:val="both"/>
      </w:pPr>
      <w:r>
        <w:rPr>
          <w:rFonts w:ascii="Times New Roman" w:hAnsi="Times New Roman" w:eastAsia="Times New Roman"/>
          <w:b w:val="0"/>
          <w:i w:val="0"/>
          <w:sz w:val="24"/>
        </w:rPr>
        <w:t>Keywords: intertextuality, text reuse, allusion, quotation, gold standard, recall estimation, reproducibility, digital philology, Dostoevsky, Bible.</w:t>
      </w:r>
    </w:p>
    <w:p>
      <w:pPr>
        <w:keepNext/>
        <w:widowControl/>
        <w:spacing w:line="360" w:lineRule="auto" w:before="120" w:after="60"/>
        <w:jc w:val="center"/>
      </w:pPr>
      <w:r>
        <w:rPr>
          <w:rFonts w:ascii="Times New Roman" w:hAnsi="Times New Roman" w:eastAsia="Times New Roman"/>
          <w:b/>
          <w:i w:val="0"/>
          <w:sz w:val="24"/>
        </w:rPr>
        <w:t>Введение</w:t>
      </w:r>
    </w:p>
    <w:p>
      <w:pPr>
        <w:keepNext w:val="0"/>
        <w:widowControl/>
        <w:spacing w:line="360" w:lineRule="auto" w:before="0" w:after="0"/>
        <w:ind w:firstLine="709"/>
        <w:jc w:val="both"/>
      </w:pPr>
      <w:r>
        <w:rPr>
          <w:rFonts w:ascii="Times New Roman" w:hAnsi="Times New Roman" w:eastAsia="Times New Roman"/>
          <w:b w:val="0"/>
          <w:i w:val="0"/>
          <w:sz w:val="24"/>
        </w:rPr>
        <w:t>Интертекстуальность рассматривается как свойство текста обнаруживать связь с другими текстами в форме цитаты, аллюзии, реминисценции, пародии, подражания и иных отсылок. С развитием корпусной лингвистики и методов обработки естественного языка возник вопрос о том, насколько надёжно такие связи можно выявлять автоматически. Ответ определяется тремя решениями, которые исследователь принимает до запуска любого алгоритма: что считать единицей анализа, какой эталон принять за истину и по какой мере судить об успехе. От этих решений итоговая оценка метода зависит не меньше, чем от самого алгоритма.</w:t>
      </w:r>
    </w:p>
    <w:p>
      <w:pPr>
        <w:keepNext w:val="0"/>
        <w:widowControl/>
        <w:spacing w:line="360" w:lineRule="auto" w:before="0" w:after="0"/>
        <w:ind w:firstLine="709"/>
        <w:jc w:val="both"/>
      </w:pPr>
      <w:r>
        <w:rPr>
          <w:rFonts w:ascii="Times New Roman" w:hAnsi="Times New Roman" w:eastAsia="Times New Roman"/>
          <w:b w:val="0"/>
          <w:i w:val="0"/>
          <w:sz w:val="24"/>
        </w:rPr>
        <w:t>Типичный способ оценки состоит в сопоставлении результатов метода со списком связей, которые отметил исследователь в комментарии к тексту. Такой эталон неполон, причём часть его записей указывает на контекст цитируемого места, и источник самой строки в ней не назван. Диапазонные ссылки облегчают попадание, а длина анализируемого фрагмента сама по себе предсказывает наличие разметки. Без явной проверки этих свойств эталона и конвейера вычисления полноты метода рискует измерять особенности данных.</w:t>
      </w:r>
    </w:p>
    <w:p>
      <w:pPr>
        <w:keepNext w:val="0"/>
        <w:widowControl/>
        <w:spacing w:line="360" w:lineRule="auto" w:before="0" w:after="0"/>
        <w:ind w:firstLine="709"/>
        <w:jc w:val="both"/>
      </w:pPr>
      <w:r>
        <w:rPr>
          <w:rFonts w:ascii="Times New Roman" w:hAnsi="Times New Roman" w:eastAsia="Times New Roman"/>
          <w:b w:val="0"/>
          <w:i w:val="0"/>
          <w:sz w:val="24"/>
        </w:rPr>
        <w:t>Цель работы состоит в сопоставлении подходов российской и зарубежной науки к обнаружению интертекстуальных связей, описании положения российской научной литературы по теме, выделении общенаучных принципов проверки методов и демонстрации их применения. Задачи: (1) рассмотреть теоретические основания и их следствия для операционализации понятия; (2) охарактеризовать российскую литературу по теме; (3) систематизировать зарубежные вычислительные подходы и способы их оценки; (4) сформулировать общенаучные требования к проверке; (5) показать их применение в виде протокола и сообщить результаты его проверки на трёх материалах.</w:t>
      </w:r>
    </w:p>
    <w:p>
      <w:pPr>
        <w:keepNext w:val="0"/>
        <w:widowControl/>
        <w:spacing w:line="360" w:lineRule="auto" w:before="0" w:after="0"/>
        <w:ind w:firstLine="709"/>
        <w:jc w:val="both"/>
      </w:pPr>
      <w:r>
        <w:rPr>
          <w:rFonts w:ascii="Times New Roman" w:hAnsi="Times New Roman" w:eastAsia="Times New Roman"/>
          <w:b w:val="0"/>
          <w:i w:val="0"/>
          <w:sz w:val="24"/>
        </w:rPr>
        <w:t>Новизна работы заключается в соединении обзора с эмпирической проверкой: требования, выведенные из литературы, применены к конкретному конвейеру поиска и сопоставлены с числами, полученными до и после каждого шага проверки.</w:t>
      </w:r>
    </w:p>
    <w:p>
      <w:pPr>
        <w:keepNext/>
        <w:widowControl/>
        <w:spacing w:line="360" w:lineRule="auto" w:before="120" w:after="60"/>
        <w:jc w:val="center"/>
      </w:pPr>
      <w:r>
        <w:rPr>
          <w:rFonts w:ascii="Times New Roman" w:hAnsi="Times New Roman" w:eastAsia="Times New Roman"/>
          <w:b/>
          <w:i w:val="0"/>
          <w:sz w:val="24"/>
        </w:rPr>
        <w:t>1. Теоретические основания</w:t>
      </w:r>
    </w:p>
    <w:p>
      <w:pPr>
        <w:keepNext/>
        <w:widowControl/>
        <w:spacing w:line="360" w:lineRule="auto" w:before="60" w:after="40"/>
        <w:ind w:firstLine="709"/>
        <w:jc w:val="left"/>
      </w:pPr>
      <w:r>
        <w:rPr>
          <w:rFonts w:ascii="Times New Roman" w:hAnsi="Times New Roman" w:eastAsia="Times New Roman"/>
          <w:b/>
          <w:i/>
          <w:sz w:val="24"/>
        </w:rPr>
        <w:t>1.1. Истоки понятия</w:t>
      </w:r>
    </w:p>
    <w:p>
      <w:pPr>
        <w:keepNext w:val="0"/>
        <w:widowControl/>
        <w:spacing w:line="360" w:lineRule="auto" w:before="0" w:after="0"/>
        <w:ind w:firstLine="709"/>
        <w:jc w:val="both"/>
      </w:pPr>
      <w:r>
        <w:rPr>
          <w:rFonts w:ascii="Times New Roman" w:hAnsi="Times New Roman" w:eastAsia="Times New Roman"/>
          <w:b w:val="0"/>
          <w:i w:val="0"/>
          <w:sz w:val="24"/>
        </w:rPr>
        <w:t>Понятие восходит к диалогической концепции слова М. М. Бахтина, согласно которой высказывание формируется во взаимодействии с чужими высказываниями [1]. Термин «интертекстуальность» ввела Ю. Кристева в статье, представившей идеи Бахтина французской аудитории [26]. Ж. Женетт предложил более дробную систему: под транстекстуальностью он понимал всё, что связывает текст с другими текстами, и различал интертекстуальность в узком смысле (цитата, плагиат, аллюзия), паратекстуальность, метатекстуальность, гипертекстуальность и архитекстуальность [23]. М. Риффатер связал распознавание связи с читательской компетенцией и ввёл понятие гипограммы, то есть предшествующей структуры, которую читатель узнаёт в тексте [31]. Х. Блум описал отношение поэта к предшественнику как психологически мотивированное переосмысление [14].</w:t>
      </w:r>
    </w:p>
    <w:p>
      <w:pPr>
        <w:keepNext w:val="0"/>
        <w:widowControl/>
        <w:spacing w:line="360" w:lineRule="auto" w:before="0" w:after="0"/>
        <w:ind w:firstLine="709"/>
        <w:jc w:val="both"/>
      </w:pPr>
      <w:r>
        <w:rPr>
          <w:rFonts w:ascii="Times New Roman" w:hAnsi="Times New Roman" w:eastAsia="Times New Roman"/>
          <w:b w:val="0"/>
          <w:i w:val="0"/>
          <w:sz w:val="24"/>
        </w:rPr>
        <w:t>Для проблемы обнаружения эти концепции имеют общее следствие. Все они задают связь через интерпретацию, и операциональный критерий её наличия остаётся за пределами теории. Следовательно, любой алгоритм решает более узкую задачу, чем та, которую ставит теория: он ищет формальные следы, по которым исследователь с высокой вероятностью признает связь.</w:t>
      </w:r>
    </w:p>
    <w:p>
      <w:pPr>
        <w:keepNext/>
        <w:widowControl/>
        <w:spacing w:line="360" w:lineRule="auto" w:before="60" w:after="40"/>
        <w:ind w:firstLine="709"/>
        <w:jc w:val="left"/>
      </w:pPr>
      <w:r>
        <w:rPr>
          <w:rFonts w:ascii="Times New Roman" w:hAnsi="Times New Roman" w:eastAsia="Times New Roman"/>
          <w:b/>
          <w:i/>
          <w:sz w:val="24"/>
        </w:rPr>
        <w:t>1.2. Российская традиция</w:t>
      </w:r>
    </w:p>
    <w:p>
      <w:pPr>
        <w:keepNext w:val="0"/>
        <w:widowControl/>
        <w:spacing w:line="360" w:lineRule="auto" w:before="0" w:after="0"/>
        <w:ind w:firstLine="709"/>
        <w:jc w:val="both"/>
      </w:pPr>
      <w:r>
        <w:rPr>
          <w:rFonts w:ascii="Times New Roman" w:hAnsi="Times New Roman" w:eastAsia="Times New Roman"/>
          <w:b w:val="0"/>
          <w:i w:val="0"/>
          <w:sz w:val="24"/>
        </w:rPr>
        <w:t>В российской науке понятие развивалось в нескольких направлениях. Семиотическое направление представлено работами тартуско-московской школы: Ю. М. Лотман рассматривал текст как элемент семиосферы, в которой тексты вступают во взаимодействие [7], а П. Х. Торопом предложено понятие интекста, связанное с проблемой «текста в тексте» [10]. И. П. Смирнов определил интертекстуальность как формирование смысла произведения через отсылку к другому тексту и разработал элементы интертекстуального анализа на материале поэзии Б. Л. Пастернака [8]. Н. А. Фатеева дала развёрнутую типологию интертекстуальных элементов (цитата, аллюзия, реминисценция и другие) и описала их функции в художественном тексте [11]. Н. А. Кузьмина рассмотрела интертекст как семиотическую сферу, участвующую в эволюции поэтического языка [6]. М. Б. Ямпольский распространил понятие на кинематограф, связав интертекстуальные связи с текстовыми аномалиями, нарушающими привычное чтение [12]. И. П. Ильин систематизировал постструктуралистские и постмодернистские теории, в рамках которых понятие получило распространение [2].</w:t>
      </w:r>
    </w:p>
    <w:p>
      <w:pPr>
        <w:keepNext w:val="0"/>
        <w:widowControl/>
        <w:spacing w:line="360" w:lineRule="auto" w:before="0" w:after="0"/>
        <w:ind w:firstLine="709"/>
        <w:jc w:val="both"/>
      </w:pPr>
      <w:r>
        <w:rPr>
          <w:rFonts w:ascii="Times New Roman" w:hAnsi="Times New Roman" w:eastAsia="Times New Roman"/>
          <w:b w:val="0"/>
          <w:i w:val="0"/>
          <w:sz w:val="24"/>
        </w:rPr>
        <w:t>Отдельное направление образует лингвокультурология. Ю. Н. Караулов ввёл понятие прецедентных текстов, известных носителям языка и воспроизводимых в речи [3]. Для задач обнаружения это направление существенно, поскольку определяет единицу через знание носителя культуры, и для её выявления требуется информация вне самого текста.</w:t>
      </w:r>
    </w:p>
    <w:p>
      <w:pPr>
        <w:keepNext w:val="0"/>
        <w:widowControl/>
        <w:spacing w:line="360" w:lineRule="auto" w:before="0" w:after="0"/>
        <w:ind w:firstLine="709"/>
        <w:jc w:val="both"/>
      </w:pPr>
      <w:r>
        <w:rPr>
          <w:rFonts w:ascii="Times New Roman" w:hAnsi="Times New Roman" w:eastAsia="Times New Roman"/>
          <w:b w:val="0"/>
          <w:i w:val="0"/>
          <w:sz w:val="24"/>
        </w:rPr>
        <w:t>Материал, на котором строится настоящее исследование, предполагает наличие филологического эталона. Роман Ф. М. Достоевского «Преступление и наказание» обладает развёрнутым комментарием, где библейский контекст восстановлен по месту [9]. Слово Достоевского как онтологическая категория рассматривается и в работах Т. А. Касаткиной [4]. Эти работы создают основу для оценки автоматического метода, но сами не предназначены для такой оценки.</w:t>
      </w:r>
    </w:p>
    <w:p>
      <w:pPr>
        <w:keepNext/>
        <w:widowControl/>
        <w:spacing w:line="360" w:lineRule="auto" w:before="120" w:after="60"/>
        <w:jc w:val="center"/>
      </w:pPr>
      <w:r>
        <w:rPr>
          <w:rFonts w:ascii="Times New Roman" w:hAnsi="Times New Roman" w:eastAsia="Times New Roman"/>
          <w:b/>
          <w:i w:val="0"/>
          <w:sz w:val="24"/>
        </w:rPr>
        <w:t>2. Положение российской научной литературы по теме</w:t>
      </w:r>
    </w:p>
    <w:p>
      <w:pPr>
        <w:keepNext w:val="0"/>
        <w:widowControl/>
        <w:spacing w:line="360" w:lineRule="auto" w:before="0" w:after="0"/>
        <w:ind w:firstLine="709"/>
        <w:jc w:val="both"/>
      </w:pPr>
      <w:r>
        <w:rPr>
          <w:rFonts w:ascii="Times New Roman" w:hAnsi="Times New Roman" w:eastAsia="Times New Roman"/>
          <w:b w:val="0"/>
          <w:i w:val="0"/>
          <w:sz w:val="24"/>
        </w:rPr>
        <w:t>Обзор источников позволяет выделить пять групп работ и оценить их вклад в проблему обнаружения.</w:t>
      </w:r>
    </w:p>
    <w:p>
      <w:pPr>
        <w:keepNext w:val="0"/>
        <w:widowControl/>
        <w:spacing w:line="360" w:lineRule="auto" w:before="0" w:after="0"/>
        <w:ind w:firstLine="709"/>
        <w:jc w:val="both"/>
      </w:pPr>
      <w:r>
        <w:rPr>
          <w:rFonts w:ascii="Times New Roman" w:hAnsi="Times New Roman" w:eastAsia="Times New Roman"/>
          <w:b w:val="0"/>
          <w:i w:val="0"/>
          <w:sz w:val="24"/>
        </w:rPr>
        <w:t>Первая группа охватывает теорию и типологию [2, 6, 8, 10, 11]. Она наиболее развита и даёт терминологическую основу: различие цитаты, аллюзии и реминисценции задаёт шкалу от дословного воспроизведения до скрытой отсылки. Недостаток группы для задач обнаружения состоит в отсутствии формализованных критериев отнесения конкретного фрагмента к тому или иному типу.</w:t>
      </w:r>
    </w:p>
    <w:p>
      <w:pPr>
        <w:keepNext w:val="0"/>
        <w:widowControl/>
        <w:spacing w:line="360" w:lineRule="auto" w:before="0" w:after="0"/>
        <w:ind w:firstLine="709"/>
        <w:jc w:val="both"/>
      </w:pPr>
      <w:r>
        <w:rPr>
          <w:rFonts w:ascii="Times New Roman" w:hAnsi="Times New Roman" w:eastAsia="Times New Roman"/>
          <w:b w:val="0"/>
          <w:i w:val="0"/>
          <w:sz w:val="24"/>
        </w:rPr>
        <w:t>Вторая группа включает филологические разборы отдельных авторов и произведений, где связи выявляются при внимательном чтении и фиксируются в комментариях [4, 9]. Эти работы служат основным источником эталонных данных. При использовании в качестве эталона необходимо учитывать, что комментарий отражает интерес и эрудицию автора, не исчерпывает связей, и записи в нём неоднородны по своему отношению к тексту источника.</w:t>
      </w:r>
    </w:p>
    <w:p>
      <w:pPr>
        <w:keepNext w:val="0"/>
        <w:widowControl/>
        <w:spacing w:line="360" w:lineRule="auto" w:before="0" w:after="0"/>
        <w:ind w:firstLine="709"/>
        <w:jc w:val="both"/>
      </w:pPr>
      <w:r>
        <w:rPr>
          <w:rFonts w:ascii="Times New Roman" w:hAnsi="Times New Roman" w:eastAsia="Times New Roman"/>
          <w:b w:val="0"/>
          <w:i w:val="0"/>
          <w:sz w:val="24"/>
        </w:rPr>
        <w:t>Третья группа относится к лингвокультурологии и теории прецедентных феноменов [3]. Её результаты полезны при определении круга текстов, подлежащих поиску, поскольку указывают, какие источники культурно доступны носителю.</w:t>
      </w:r>
    </w:p>
    <w:p>
      <w:pPr>
        <w:keepNext w:val="0"/>
        <w:widowControl/>
        <w:spacing w:line="360" w:lineRule="auto" w:before="0" w:after="0"/>
        <w:ind w:firstLine="709"/>
        <w:jc w:val="both"/>
      </w:pPr>
      <w:r>
        <w:rPr>
          <w:rFonts w:ascii="Times New Roman" w:hAnsi="Times New Roman" w:eastAsia="Times New Roman"/>
          <w:b w:val="0"/>
          <w:i w:val="0"/>
          <w:sz w:val="24"/>
        </w:rPr>
        <w:t>Четвёртая группа связана с цифровой гуманитаристикой, формирование которой в России анализируется в работе [5]. Она создаёт институциональные предпосылки: корпуса, инструменты, методические дискуссии. Вместе с тем специальных работ, в которых автоматическое выявление интертекстуальных связей в русскоязычной художественной прозе оценивалось бы на независимо размеченном эталоне с отчётом о полноте, в ходе поиска по открытым источникам обнаружить не удалось. Это наблюдение ограничено объёмом поиска, и существование таких работ оно не исключает.</w:t>
      </w:r>
    </w:p>
    <w:p>
      <w:pPr>
        <w:keepNext w:val="0"/>
        <w:widowControl/>
        <w:spacing w:line="360" w:lineRule="auto" w:before="0" w:after="0"/>
        <w:ind w:firstLine="709"/>
        <w:jc w:val="both"/>
      </w:pPr>
      <w:r>
        <w:rPr>
          <w:rFonts w:ascii="Times New Roman" w:hAnsi="Times New Roman" w:eastAsia="Times New Roman"/>
          <w:b w:val="0"/>
          <w:i w:val="0"/>
          <w:sz w:val="24"/>
        </w:rPr>
        <w:t>Пятая группа представлена прикладными системами проверки заимствований. Их алгоритмы опираются на сопоставление последовательностей слов фиксированной длины (шинглов) [15] и рассчитаны на выявление дословных и слегка изменённых повторов. Для литературной аллюзии, не имеющей общей лексики, эти системы не предназначены.</w:t>
      </w:r>
    </w:p>
    <w:p>
      <w:pPr>
        <w:keepNext w:val="0"/>
        <w:widowControl/>
        <w:spacing w:line="360" w:lineRule="auto" w:before="0" w:after="0"/>
        <w:ind w:firstLine="709"/>
        <w:jc w:val="both"/>
      </w:pPr>
      <w:r>
        <w:rPr>
          <w:rFonts w:ascii="Times New Roman" w:hAnsi="Times New Roman" w:eastAsia="Times New Roman"/>
          <w:b w:val="0"/>
          <w:i w:val="0"/>
          <w:sz w:val="24"/>
        </w:rPr>
        <w:t>В совокупности российская литература создаёт развитую понятийную основу и корпус эталонных комментариев, тогда как методология алгоритмического обнаружения и стандарты оценки её результатов выражены слабо. Четыре признака характеризуют это положение: нет общедоступных размеченных эталонов, предназначенных для оценки алгоритмов; не принято сообщать полноту относительно записей, для которых в тексте вообще есть формальное свидетельство; задача отбора фрагментов и задача атрибуции источника обычно не разделяются; выводы часто опираются на отдельные примеры.</w:t>
      </w:r>
    </w:p>
    <w:p>
      <w:pPr>
        <w:keepNext/>
        <w:widowControl/>
        <w:spacing w:line="360" w:lineRule="auto" w:before="120" w:after="60"/>
        <w:jc w:val="center"/>
      </w:pPr>
      <w:r>
        <w:rPr>
          <w:rFonts w:ascii="Times New Roman" w:hAnsi="Times New Roman" w:eastAsia="Times New Roman"/>
          <w:b/>
          <w:i w:val="0"/>
          <w:sz w:val="24"/>
        </w:rPr>
        <w:t>3. Вычислительные подходы в зарубежной литературе</w:t>
      </w:r>
    </w:p>
    <w:p>
      <w:pPr>
        <w:keepNext w:val="0"/>
        <w:widowControl/>
        <w:spacing w:line="360" w:lineRule="auto" w:before="0" w:after="0"/>
        <w:ind w:firstLine="709"/>
        <w:jc w:val="both"/>
      </w:pPr>
      <w:r>
        <w:rPr>
          <w:rFonts w:ascii="Times New Roman" w:hAnsi="Times New Roman" w:eastAsia="Times New Roman"/>
          <w:b w:val="0"/>
          <w:i w:val="0"/>
          <w:sz w:val="24"/>
        </w:rPr>
        <w:t>Зарубежные работы можно сгруппировать по типу признака. Сопоставление приведено в таблице 1.</w:t>
      </w:r>
    </w:p>
    <w:p>
      <w:pPr>
        <w:keepNext w:val="0"/>
        <w:widowControl/>
        <w:spacing w:line="360" w:lineRule="auto" w:before="0" w:after="0"/>
        <w:ind w:firstLine="709"/>
        <w:jc w:val="both"/>
      </w:pPr>
      <w:r>
        <w:rPr>
          <w:rFonts w:ascii="Times New Roman" w:hAnsi="Times New Roman" w:eastAsia="Times New Roman"/>
          <w:b w:val="0"/>
          <w:i w:val="0"/>
          <w:sz w:val="24"/>
        </w:rPr>
        <w:t>Лексический подход реализован в проекте Tesserae, который выявляет параллели в латинской поэзии по общим словам и их сочетаниям. При применении к первой книге «Фарсалии» Лукана и «Энеиде» Вергилия программа вернула около 3000 лингвистических параллелей, которые затем сопоставлялись со списком известных аллюзий из комментариев и оценивались по литературной значимости [17]. В проекте eAQUA для древнегреческих текстов описаны синтаксический и семантический подходы к выявлению цитат и визуализации повтора [16]. Методы выравнивания последовательностей применены в проекте Viral Texts к массиву из 41 829 выпусков 132 американских газет [34], а инструмент Fīlum оценён на базе из 945 интертекстов, собранных по трём комментариям к «Аргонавтике» Валерия Флакка [19].</w:t>
      </w:r>
    </w:p>
    <w:p>
      <w:pPr>
        <w:keepNext w:val="0"/>
        <w:widowControl/>
        <w:spacing w:line="360" w:lineRule="auto" w:before="0" w:after="0"/>
        <w:ind w:firstLine="709"/>
        <w:jc w:val="both"/>
      </w:pPr>
      <w:r>
        <w:rPr>
          <w:rFonts w:ascii="Times New Roman" w:hAnsi="Times New Roman" w:eastAsia="Times New Roman"/>
          <w:b w:val="0"/>
          <w:i w:val="0"/>
          <w:sz w:val="24"/>
        </w:rPr>
        <w:t>Синтаксический признак введён Д. Бэммэном и Г. Крейном, которые добавили к сходству слов и n-грамм сравнение синтаксической структуры при поиске имитативных аллюзий в латинской поэзии [13]. Нелитеральный повтор, при котором слова заменяются или переставляются, изучен на примере библейских заимствований; авторы описывают преобразования, переводящие исходный фрагмент в повторяющий [28]. Семантические представления использованы в работе [27], где аллюзивный повтор поставлен как задача информационного поиска. Показано, что ручные запросы существенно улучшают качество, дистрибутивные модели дают умеренный прирост, а согласие аннотаторов остаётся низким. Обзор количественной интертекстуальности с позиций цифровой гуманитаристики дан в работе [20], систематическое изложение методов (лексических, звуковых, семантических) в монографии [22].</w:t>
      </w:r>
    </w:p>
    <w:p>
      <w:pPr>
        <w:keepNext/>
        <w:widowControl/>
        <w:spacing w:line="276" w:lineRule="auto" w:before="160" w:after="80"/>
        <w:jc w:val="left"/>
      </w:pPr>
      <w:r>
        <w:rPr>
          <w:rFonts w:ascii="Times New Roman" w:hAnsi="Times New Roman" w:eastAsia="Times New Roman"/>
          <w:b w:val="0"/>
          <w:i w:val="0"/>
          <w:sz w:val="24"/>
        </w:rPr>
        <w:t>Таблица 1. Сопоставление направлений исследования интертекстуальных связей</w:t>
      </w:r>
    </w:p>
    <w:tbl>
      <w:tblPr>
        <w:tblW w:type="auto" w:w="0"/>
        <w:jc w:val="left"/>
        <w:tblLayout w:type="fixed"/>
        <w:tblLook w:firstColumn="1" w:firstRow="1" w:lastColumn="0" w:lastRow="0" w:noHBand="0" w:noVBand="1" w:val="04A0"/>
      </w:tblPr>
      <w:tblGrid>
        <w:gridCol w:w="1871"/>
        <w:gridCol w:w="1871"/>
        <w:gridCol w:w="1871"/>
        <w:gridCol w:w="1871"/>
        <w:gridCol w:w="1871"/>
      </w:tblGrid>
      <w:tr>
        <w:trPr>
          <w:cantSplit/>
          <w:tblHeader/>
        </w:trPr>
        <w:tc>
          <w:tcPr>
            <w:tcW w:type="dxa" w:w="1600"/>
            <w:tcBorders>
              <w:top w:val="single" w:sz="4" w:color="000000"/>
              <w:left w:val="single" w:sz="4" w:color="000000"/>
              <w:bottom w:val="single" w:sz="4" w:color="000000"/>
              <w:right w:val="single" w:sz="4" w:color="000000"/>
            </w:tcBorders>
            <w:shd w:val="clear" w:color="auto" w:fill="E7E7E7"/>
          </w:tcPr>
          <w:p>
            <w:pPr>
              <w:spacing w:line="240" w:lineRule="auto"/>
              <w:jc w:val="left"/>
            </w:pPr>
            <w:r>
              <w:rPr>
                <w:rFonts w:ascii="Times New Roman" w:hAnsi="Times New Roman" w:eastAsia="Times New Roman"/>
                <w:b/>
                <w:i w:val="0"/>
                <w:sz w:val="20"/>
              </w:rPr>
              <w:t>Направление</w:t>
            </w:r>
          </w:p>
        </w:tc>
        <w:tc>
          <w:tcPr>
            <w:tcW w:type="dxa" w:w="1800"/>
            <w:tcBorders>
              <w:top w:val="single" w:sz="4" w:color="000000"/>
              <w:left w:val="single" w:sz="4" w:color="000000"/>
              <w:bottom w:val="single" w:sz="4" w:color="000000"/>
              <w:right w:val="single" w:sz="4" w:color="000000"/>
            </w:tcBorders>
            <w:shd w:val="clear" w:color="auto" w:fill="E7E7E7"/>
          </w:tcPr>
          <w:p>
            <w:pPr>
              <w:spacing w:line="240" w:lineRule="auto"/>
              <w:jc w:val="left"/>
            </w:pPr>
            <w:r>
              <w:rPr>
                <w:rFonts w:ascii="Times New Roman" w:hAnsi="Times New Roman" w:eastAsia="Times New Roman"/>
                <w:b/>
                <w:i w:val="0"/>
                <w:sz w:val="20"/>
              </w:rPr>
              <w:t>Представители</w:t>
            </w:r>
          </w:p>
        </w:tc>
        <w:tc>
          <w:tcPr>
            <w:tcW w:type="dxa" w:w="1900"/>
            <w:tcBorders>
              <w:top w:val="single" w:sz="4" w:color="000000"/>
              <w:left w:val="single" w:sz="4" w:color="000000"/>
              <w:bottom w:val="single" w:sz="4" w:color="000000"/>
              <w:right w:val="single" w:sz="4" w:color="000000"/>
            </w:tcBorders>
            <w:shd w:val="clear" w:color="auto" w:fill="E7E7E7"/>
          </w:tcPr>
          <w:p>
            <w:pPr>
              <w:spacing w:line="240" w:lineRule="auto"/>
              <w:jc w:val="left"/>
            </w:pPr>
            <w:r>
              <w:rPr>
                <w:rFonts w:ascii="Times New Roman" w:hAnsi="Times New Roman" w:eastAsia="Times New Roman"/>
                <w:b/>
                <w:i w:val="0"/>
                <w:sz w:val="20"/>
              </w:rPr>
              <w:t>Единица и признак</w:t>
            </w:r>
          </w:p>
        </w:tc>
        <w:tc>
          <w:tcPr>
            <w:tcW w:type="dxa" w:w="1900"/>
            <w:tcBorders>
              <w:top w:val="single" w:sz="4" w:color="000000"/>
              <w:left w:val="single" w:sz="4" w:color="000000"/>
              <w:bottom w:val="single" w:sz="4" w:color="000000"/>
              <w:right w:val="single" w:sz="4" w:color="000000"/>
            </w:tcBorders>
            <w:shd w:val="clear" w:color="auto" w:fill="E7E7E7"/>
          </w:tcPr>
          <w:p>
            <w:pPr>
              <w:spacing w:line="240" w:lineRule="auto"/>
              <w:jc w:val="left"/>
            </w:pPr>
            <w:r>
              <w:rPr>
                <w:rFonts w:ascii="Times New Roman" w:hAnsi="Times New Roman" w:eastAsia="Times New Roman"/>
                <w:b/>
                <w:i w:val="0"/>
                <w:sz w:val="20"/>
              </w:rPr>
              <w:t>Способ оценки</w:t>
            </w:r>
          </w:p>
        </w:tc>
        <w:tc>
          <w:tcPr>
            <w:tcW w:type="dxa" w:w="2155"/>
            <w:tcBorders>
              <w:top w:val="single" w:sz="4" w:color="000000"/>
              <w:left w:val="single" w:sz="4" w:color="000000"/>
              <w:bottom w:val="single" w:sz="4" w:color="000000"/>
              <w:right w:val="single" w:sz="4" w:color="000000"/>
            </w:tcBorders>
            <w:shd w:val="clear" w:color="auto" w:fill="E7E7E7"/>
          </w:tcPr>
          <w:p>
            <w:pPr>
              <w:spacing w:line="240" w:lineRule="auto"/>
              <w:jc w:val="left"/>
            </w:pPr>
            <w:r>
              <w:rPr>
                <w:rFonts w:ascii="Times New Roman" w:hAnsi="Times New Roman" w:eastAsia="Times New Roman"/>
                <w:b/>
                <w:i w:val="0"/>
                <w:sz w:val="20"/>
              </w:rPr>
              <w:t>Основное ограничение</w:t>
            </w:r>
          </w:p>
        </w:tc>
      </w:tr>
      <w:tr>
        <w:trPr>
          <w:cantSplit/>
        </w:trPr>
        <w:tc>
          <w:tcPr>
            <w:tcW w:type="dxa" w:w="16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Теоретико-семиотическое</w:t>
            </w:r>
          </w:p>
        </w:tc>
        <w:tc>
          <w:tcPr>
            <w:tcW w:type="dxa" w:w="18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Бахтин, Кристева, Женетт, Риффатер</w:t>
            </w:r>
          </w:p>
        </w:tc>
        <w:tc>
          <w:tcPr>
            <w:tcW w:type="dxa" w:w="19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Текст; гипограмма; отсылка</w:t>
            </w:r>
          </w:p>
        </w:tc>
        <w:tc>
          <w:tcPr>
            <w:tcW w:type="dxa" w:w="19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Интерпретация</w:t>
            </w:r>
          </w:p>
        </w:tc>
        <w:tc>
          <w:tcPr>
            <w:tcW w:type="dxa" w:w="2155"/>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Операциональный критерий связи не задан</w:t>
            </w:r>
          </w:p>
        </w:tc>
      </w:tr>
      <w:tr>
        <w:trPr>
          <w:cantSplit/>
        </w:trPr>
        <w:tc>
          <w:tcPr>
            <w:tcW w:type="dxa" w:w="16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Российская типологическая традиция</w:t>
            </w:r>
          </w:p>
        </w:tc>
        <w:tc>
          <w:tcPr>
            <w:tcW w:type="dxa" w:w="18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Тороп, Смирнов, Фатеева, Кузьмина</w:t>
            </w:r>
          </w:p>
        </w:tc>
        <w:tc>
          <w:tcPr>
            <w:tcW w:type="dxa" w:w="19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Цитата, аллюзия, реминисценция</w:t>
            </w:r>
          </w:p>
        </w:tc>
        <w:tc>
          <w:tcPr>
            <w:tcW w:type="dxa" w:w="19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Анализ примеров</w:t>
            </w:r>
          </w:p>
        </w:tc>
        <w:tc>
          <w:tcPr>
            <w:tcW w:type="dxa" w:w="2155"/>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Нет оценки полноты</w:t>
            </w:r>
          </w:p>
        </w:tc>
      </w:tr>
      <w:tr>
        <w:trPr>
          <w:cantSplit/>
        </w:trPr>
        <w:tc>
          <w:tcPr>
            <w:tcW w:type="dxa" w:w="16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Лингвокультурологическое</w:t>
            </w:r>
          </w:p>
        </w:tc>
        <w:tc>
          <w:tcPr>
            <w:tcW w:type="dxa" w:w="18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Караулов</w:t>
            </w:r>
          </w:p>
        </w:tc>
        <w:tc>
          <w:tcPr>
            <w:tcW w:type="dxa" w:w="19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Прецедентный текст</w:t>
            </w:r>
          </w:p>
        </w:tc>
        <w:tc>
          <w:tcPr>
            <w:tcW w:type="dxa" w:w="19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Описание</w:t>
            </w:r>
          </w:p>
        </w:tc>
        <w:tc>
          <w:tcPr>
            <w:tcW w:type="dxa" w:w="2155"/>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Единица определяется знанием носителя</w:t>
            </w:r>
          </w:p>
        </w:tc>
      </w:tr>
      <w:tr>
        <w:trPr>
          <w:cantSplit/>
        </w:trPr>
        <w:tc>
          <w:tcPr>
            <w:tcW w:type="dxa" w:w="16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Лексическое и n-граммное</w:t>
            </w:r>
          </w:p>
        </w:tc>
        <w:tc>
          <w:tcPr>
            <w:tcW w:type="dxa" w:w="18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Tesserae, eAQUA</w:t>
            </w:r>
          </w:p>
        </w:tc>
        <w:tc>
          <w:tcPr>
            <w:tcW w:type="dxa" w:w="19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Редкие общие слова и их сочетания</w:t>
            </w:r>
          </w:p>
        </w:tc>
        <w:tc>
          <w:tcPr>
            <w:tcW w:type="dxa" w:w="19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Сверка с комментариями</w:t>
            </w:r>
          </w:p>
        </w:tc>
        <w:tc>
          <w:tcPr>
            <w:tcW w:type="dxa" w:w="2155"/>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Большое число параллелей, требующих ручной оценки</w:t>
            </w:r>
          </w:p>
        </w:tc>
      </w:tr>
      <w:tr>
        <w:trPr>
          <w:cantSplit/>
        </w:trPr>
        <w:tc>
          <w:tcPr>
            <w:tcW w:type="dxa" w:w="16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Выравнивание последовательностей</w:t>
            </w:r>
          </w:p>
        </w:tc>
        <w:tc>
          <w:tcPr>
            <w:tcW w:type="dxa" w:w="18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Viral Texts, Fīlum</w:t>
            </w:r>
          </w:p>
        </w:tc>
        <w:tc>
          <w:tcPr>
            <w:tcW w:type="dxa" w:w="19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Протяжённые совпадающие фрагменты</w:t>
            </w:r>
          </w:p>
        </w:tc>
        <w:tc>
          <w:tcPr>
            <w:tcW w:type="dxa" w:w="19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Эталон из комментариев</w:t>
            </w:r>
          </w:p>
        </w:tc>
        <w:tc>
          <w:tcPr>
            <w:tcW w:type="dxa" w:w="2155"/>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Слабо работает при нелитеральном повторе</w:t>
            </w:r>
          </w:p>
        </w:tc>
      </w:tr>
      <w:tr>
        <w:trPr>
          <w:cantSplit/>
        </w:trPr>
        <w:tc>
          <w:tcPr>
            <w:tcW w:type="dxa" w:w="16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Синтаксическое и трансформационное</w:t>
            </w:r>
          </w:p>
        </w:tc>
        <w:tc>
          <w:tcPr>
            <w:tcW w:type="dxa" w:w="18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Бэммэн и Крейн; Мориц и соавторы</w:t>
            </w:r>
          </w:p>
        </w:tc>
        <w:tc>
          <w:tcPr>
            <w:tcW w:type="dxa" w:w="19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Деревья зависимостей; типы преобразований</w:t>
            </w:r>
          </w:p>
        </w:tc>
        <w:tc>
          <w:tcPr>
            <w:tcW w:type="dxa" w:w="19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Известные случаи</w:t>
            </w:r>
          </w:p>
        </w:tc>
        <w:tc>
          <w:tcPr>
            <w:tcW w:type="dxa" w:w="2155"/>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Нужен синтаксический разбор</w:t>
            </w:r>
          </w:p>
        </w:tc>
      </w:tr>
      <w:tr>
        <w:trPr>
          <w:cantSplit/>
        </w:trPr>
        <w:tc>
          <w:tcPr>
            <w:tcW w:type="dxa" w:w="16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Семантическое</w:t>
            </w:r>
          </w:p>
        </w:tc>
        <w:tc>
          <w:tcPr>
            <w:tcW w:type="dxa" w:w="18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Манхавакас и соавторы</w:t>
            </w:r>
          </w:p>
        </w:tc>
        <w:tc>
          <w:tcPr>
            <w:tcW w:type="dxa" w:w="19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Векторы слов и предложений</w:t>
            </w:r>
          </w:p>
        </w:tc>
        <w:tc>
          <w:tcPr>
            <w:tcW w:type="dxa" w:w="19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Метрики информационного поиска</w:t>
            </w:r>
          </w:p>
        </w:tc>
        <w:tc>
          <w:tcPr>
            <w:tcW w:type="dxa" w:w="2155"/>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Низкое согласие аннотаторов, умеренный прирост</w:t>
            </w:r>
          </w:p>
        </w:tc>
      </w:tr>
    </w:tbl>
    <w:p>
      <w:pPr>
        <w:keepNext w:val="0"/>
        <w:widowControl/>
        <w:spacing w:line="240" w:lineRule="auto" w:before="0" w:after="120"/>
        <w:jc w:val="left"/>
      </w:pPr>
    </w:p>
    <w:p>
      <w:pPr>
        <w:keepNext w:val="0"/>
        <w:widowControl/>
        <w:spacing w:line="360" w:lineRule="auto" w:before="0" w:after="0"/>
        <w:ind w:firstLine="709"/>
        <w:jc w:val="both"/>
      </w:pPr>
      <w:r>
        <w:rPr>
          <w:rFonts w:ascii="Times New Roman" w:hAnsi="Times New Roman" w:eastAsia="Times New Roman"/>
          <w:b w:val="0"/>
          <w:i w:val="0"/>
          <w:sz w:val="24"/>
        </w:rPr>
        <w:t>Сравнение показывает общую закономерность: чем меньше формальных следов у связи, тем ниже полнота и тем сильнее результат зависит от эталона. Эталон в большинстве работ составляется по комментариям, поэтому его полнота и однородность напрямую ограничивают любые выводы о методе.</w:t>
      </w:r>
    </w:p>
    <w:p>
      <w:pPr>
        <w:keepNext/>
        <w:widowControl/>
        <w:spacing w:line="360" w:lineRule="auto" w:before="120" w:after="60"/>
        <w:jc w:val="center"/>
      </w:pPr>
      <w:r>
        <w:rPr>
          <w:rFonts w:ascii="Times New Roman" w:hAnsi="Times New Roman" w:eastAsia="Times New Roman"/>
          <w:b/>
          <w:i w:val="0"/>
          <w:sz w:val="24"/>
        </w:rPr>
        <w:t>4. Общенаучные подходы к проверке методов</w:t>
      </w:r>
    </w:p>
    <w:p>
      <w:pPr>
        <w:keepNext w:val="0"/>
        <w:widowControl/>
        <w:spacing w:line="360" w:lineRule="auto" w:before="0" w:after="0"/>
        <w:ind w:firstLine="709"/>
        <w:jc w:val="both"/>
      </w:pPr>
      <w:r>
        <w:rPr>
          <w:rFonts w:ascii="Times New Roman" w:hAnsi="Times New Roman" w:eastAsia="Times New Roman"/>
          <w:b w:val="0"/>
          <w:i w:val="0"/>
          <w:sz w:val="24"/>
        </w:rPr>
        <w:t>Задача обнаружения интертекстуальных связей относится к классу задач, где оценка метода сопоставляется с эталоном ограниченного качества. Для таких задач в других областях выработаны общие принципы, которые применимы и здесь.</w:t>
      </w:r>
    </w:p>
    <w:p>
      <w:pPr>
        <w:keepNext w:val="0"/>
        <w:widowControl/>
        <w:spacing w:line="360" w:lineRule="auto" w:before="0" w:after="0"/>
        <w:ind w:firstLine="709"/>
        <w:jc w:val="both"/>
      </w:pPr>
      <w:r>
        <w:rPr>
          <w:rFonts w:ascii="Times New Roman" w:hAnsi="Times New Roman" w:eastAsia="Times New Roman"/>
          <w:b w:val="0"/>
          <w:i w:val="0"/>
          <w:sz w:val="24"/>
        </w:rPr>
        <w:t>Конструктная валидность. Измеряемая величина должна соответствовать понятию, о котором делается вывод. Если эталон частично содержит записи без текстового свидетельства (архетип, указание на книгу, биографический факт), то полнота относительно всех записей смешивает два свойства: способность метода и достижимость цели. Корректный отчёт приводит обе цифры.</w:t>
      </w:r>
    </w:p>
    <w:p>
      <w:pPr>
        <w:keepNext w:val="0"/>
        <w:widowControl/>
        <w:spacing w:line="360" w:lineRule="auto" w:before="0" w:after="0"/>
        <w:ind w:firstLine="709"/>
        <w:jc w:val="both"/>
      </w:pPr>
      <w:r>
        <w:rPr>
          <w:rFonts w:ascii="Times New Roman" w:hAnsi="Times New Roman" w:eastAsia="Times New Roman"/>
          <w:b w:val="0"/>
          <w:i w:val="0"/>
          <w:sz w:val="24"/>
        </w:rPr>
        <w:t>Надёжность эталона. Согласие независимых аннотаторов оценивается коэффициентом каппа [18]. Для эталона, составленного по комментарию, такой оценки обычно нет, и компенсировать её можно ручной выборкой записей с метками и доверительным интервалом доли. Интервал Уилсона пригоден для малых выборок и значений вблизи границ [35].</w:t>
      </w:r>
    </w:p>
    <w:p>
      <w:pPr>
        <w:keepNext w:val="0"/>
        <w:widowControl/>
        <w:spacing w:line="360" w:lineRule="auto" w:before="0" w:after="0"/>
        <w:ind w:firstLine="709"/>
        <w:jc w:val="both"/>
      </w:pPr>
      <w:r>
        <w:rPr>
          <w:rFonts w:ascii="Times New Roman" w:hAnsi="Times New Roman" w:eastAsia="Times New Roman"/>
          <w:b w:val="0"/>
          <w:i w:val="0"/>
          <w:sz w:val="24"/>
        </w:rPr>
        <w:t>Неопределённость оценок. При малых выборках интервал строится бутстрапом [21], причём повторная выборка берётся по объектам (цитатам, местам), если на один объект приходится несколько записей. Сравнение многих вариантов требует поправки на множественные проверки, например процедуры Холма [24].</w:t>
      </w:r>
    </w:p>
    <w:p>
      <w:pPr>
        <w:keepNext w:val="0"/>
        <w:widowControl/>
        <w:spacing w:line="360" w:lineRule="auto" w:before="0" w:after="0"/>
        <w:ind w:firstLine="709"/>
        <w:jc w:val="both"/>
      </w:pPr>
      <w:r>
        <w:rPr>
          <w:rFonts w:ascii="Times New Roman" w:hAnsi="Times New Roman" w:eastAsia="Times New Roman"/>
          <w:b w:val="0"/>
          <w:i w:val="0"/>
          <w:sz w:val="24"/>
        </w:rPr>
        <w:t>Предрегистрация. Фиксация гипотез, основной метрики и правила решения до получения результатов различает проверку гипотезы и разведочный анализ [29]. Результат, не прошедший предзаданное правило, получает статус «не подтверждено».</w:t>
      </w:r>
    </w:p>
    <w:p>
      <w:pPr>
        <w:keepNext w:val="0"/>
        <w:widowControl/>
        <w:spacing w:line="360" w:lineRule="auto" w:before="0" w:after="0"/>
        <w:ind w:firstLine="709"/>
        <w:jc w:val="both"/>
      </w:pPr>
      <w:r>
        <w:rPr>
          <w:rFonts w:ascii="Times New Roman" w:hAnsi="Times New Roman" w:eastAsia="Times New Roman"/>
          <w:b w:val="0"/>
          <w:i w:val="0"/>
          <w:sz w:val="24"/>
        </w:rPr>
        <w:t>Утечка данных и контаминация. Систематический обзор показал, что утечка информации о цели в обучающие данные занижает неопределённость и завышает качество в работах многих областей [25]. Для языковых моделей аналогичную роль играет контаминация, при которой модель видела тестовые данные в обучении [33]. Для задач с цитатами это означает, что модель, знающая Библию наизусть, способна «находить» связи по памяти.</w:t>
      </w:r>
    </w:p>
    <w:p>
      <w:pPr>
        <w:keepNext w:val="0"/>
        <w:widowControl/>
        <w:spacing w:line="360" w:lineRule="auto" w:before="0" w:after="0"/>
        <w:ind w:firstLine="709"/>
        <w:jc w:val="both"/>
      </w:pPr>
      <w:r>
        <w:rPr>
          <w:rFonts w:ascii="Times New Roman" w:hAnsi="Times New Roman" w:eastAsia="Times New Roman"/>
          <w:b w:val="0"/>
          <w:i w:val="0"/>
          <w:sz w:val="24"/>
        </w:rPr>
        <w:t>Базовые линии и хабы. В векторных пространствах высокой размерности часть точек оказывается ближайшими соседями непропорционально большого числа других точек (явление хабов) [30], что искажает ранжирование. Разумная базовая линия, например вероятностная функция BM25 [32], и контроль-плацебо со случайной связью позволяют отделить вклад признака от вклада структуры данных.</w:t>
      </w:r>
    </w:p>
    <w:p>
      <w:pPr>
        <w:keepNext/>
        <w:widowControl/>
        <w:spacing w:line="360" w:lineRule="auto" w:before="120" w:after="60"/>
        <w:jc w:val="center"/>
      </w:pPr>
      <w:r>
        <w:rPr>
          <w:rFonts w:ascii="Times New Roman" w:hAnsi="Times New Roman" w:eastAsia="Times New Roman"/>
          <w:b/>
          <w:i w:val="0"/>
          <w:sz w:val="24"/>
        </w:rPr>
        <w:t>5. Материал и методы</w:t>
      </w:r>
    </w:p>
    <w:p>
      <w:pPr>
        <w:keepNext w:val="0"/>
        <w:widowControl/>
        <w:spacing w:line="360" w:lineRule="auto" w:before="0" w:after="0"/>
        <w:ind w:firstLine="709"/>
        <w:jc w:val="both"/>
      </w:pPr>
      <w:r>
        <w:rPr>
          <w:rFonts w:ascii="Times New Roman" w:hAnsi="Times New Roman" w:eastAsia="Times New Roman"/>
          <w:b w:val="0"/>
          <w:i w:val="0"/>
          <w:sz w:val="24"/>
        </w:rPr>
        <w:t>Протокол сформулирован в репозитории проекта (версия 0.2) [36] на основе пилотного исследования. Пилот посвящён поиску документированных библейских цитат и аллюзий в романе «Преступление и наказание» по книге-комментарию Б. Н. Тихомирова [9]; эталон включал 64 места в 46 целевых абзацах, источником служила Синодальная Библия. Использовались три слоя признаков: лексика (n-граммы лемм с весом по редкости), семантика (векторы абзацев) и синтаксис (общее ребро дерева разбора).</w:t>
      </w:r>
    </w:p>
    <w:p>
      <w:pPr>
        <w:keepNext w:val="0"/>
        <w:widowControl/>
        <w:spacing w:line="360" w:lineRule="auto" w:before="0" w:after="0"/>
        <w:ind w:firstLine="709"/>
        <w:jc w:val="both"/>
      </w:pPr>
      <w:r>
        <w:rPr>
          <w:rFonts w:ascii="Times New Roman" w:hAnsi="Times New Roman" w:eastAsia="Times New Roman"/>
          <w:b w:val="0"/>
          <w:i w:val="0"/>
          <w:sz w:val="24"/>
        </w:rPr>
        <w:t>Протокол состоит из семи шагов, каждый из которых выведен из ошибки или находки пилота (таблица 2).</w:t>
      </w:r>
    </w:p>
    <w:p>
      <w:pPr>
        <w:keepNext/>
        <w:widowControl/>
        <w:spacing w:line="276" w:lineRule="auto" w:before="160" w:after="80"/>
        <w:jc w:val="left"/>
      </w:pPr>
      <w:r>
        <w:rPr>
          <w:rFonts w:ascii="Times New Roman" w:hAnsi="Times New Roman" w:eastAsia="Times New Roman"/>
          <w:b w:val="0"/>
          <w:i w:val="0"/>
          <w:sz w:val="24"/>
        </w:rPr>
        <w:t>Таблица 2. Шаги протокола калибровки</w:t>
      </w:r>
    </w:p>
    <w:tbl>
      <w:tblPr>
        <w:tblW w:type="auto" w:w="0"/>
        <w:jc w:val="left"/>
        <w:tblLayout w:type="fixed"/>
        <w:tblLook w:firstColumn="1" w:firstRow="1" w:lastColumn="0" w:lastRow="0" w:noHBand="0" w:noVBand="1" w:val="04A0"/>
      </w:tblPr>
      <w:tblGrid>
        <w:gridCol w:w="3118"/>
        <w:gridCol w:w="3118"/>
        <w:gridCol w:w="3118"/>
      </w:tblGrid>
      <w:tr>
        <w:trPr>
          <w:cantSplit/>
          <w:tblHeader/>
        </w:trPr>
        <w:tc>
          <w:tcPr>
            <w:tcW w:type="dxa" w:w="700"/>
            <w:tcBorders>
              <w:top w:val="single" w:sz="4" w:color="000000"/>
              <w:left w:val="single" w:sz="4" w:color="000000"/>
              <w:bottom w:val="single" w:sz="4" w:color="000000"/>
              <w:right w:val="single" w:sz="4" w:color="000000"/>
            </w:tcBorders>
            <w:shd w:val="clear" w:color="auto" w:fill="E7E7E7"/>
          </w:tcPr>
          <w:p>
            <w:pPr>
              <w:spacing w:line="240" w:lineRule="auto"/>
              <w:jc w:val="left"/>
            </w:pPr>
            <w:r>
              <w:rPr>
                <w:rFonts w:ascii="Times New Roman" w:hAnsi="Times New Roman" w:eastAsia="Times New Roman"/>
                <w:b/>
                <w:i w:val="0"/>
                <w:sz w:val="20"/>
              </w:rPr>
              <w:t>Шаг</w:t>
            </w:r>
          </w:p>
        </w:tc>
        <w:tc>
          <w:tcPr>
            <w:tcW w:type="dxa" w:w="3300"/>
            <w:tcBorders>
              <w:top w:val="single" w:sz="4" w:color="000000"/>
              <w:left w:val="single" w:sz="4" w:color="000000"/>
              <w:bottom w:val="single" w:sz="4" w:color="000000"/>
              <w:right w:val="single" w:sz="4" w:color="000000"/>
            </w:tcBorders>
            <w:shd w:val="clear" w:color="auto" w:fill="E7E7E7"/>
          </w:tcPr>
          <w:p>
            <w:pPr>
              <w:spacing w:line="240" w:lineRule="auto"/>
              <w:jc w:val="left"/>
            </w:pPr>
            <w:r>
              <w:rPr>
                <w:rFonts w:ascii="Times New Roman" w:hAnsi="Times New Roman" w:eastAsia="Times New Roman"/>
                <w:b/>
                <w:i w:val="0"/>
                <w:sz w:val="20"/>
              </w:rPr>
              <w:t>Содержание</w:t>
            </w:r>
          </w:p>
        </w:tc>
        <w:tc>
          <w:tcPr>
            <w:tcW w:type="dxa" w:w="5355"/>
            <w:tcBorders>
              <w:top w:val="single" w:sz="4" w:color="000000"/>
              <w:left w:val="single" w:sz="4" w:color="000000"/>
              <w:bottom w:val="single" w:sz="4" w:color="000000"/>
              <w:right w:val="single" w:sz="4" w:color="000000"/>
            </w:tcBorders>
            <w:shd w:val="clear" w:color="auto" w:fill="E7E7E7"/>
          </w:tcPr>
          <w:p>
            <w:pPr>
              <w:spacing w:line="240" w:lineRule="auto"/>
              <w:jc w:val="left"/>
            </w:pPr>
            <w:r>
              <w:rPr>
                <w:rFonts w:ascii="Times New Roman" w:hAnsi="Times New Roman" w:eastAsia="Times New Roman"/>
                <w:b/>
                <w:i w:val="0"/>
                <w:sz w:val="20"/>
              </w:rPr>
              <w:t>Критерий выполнения</w:t>
            </w:r>
          </w:p>
        </w:tc>
      </w:tr>
      <w:tr>
        <w:trPr>
          <w:cantSplit/>
        </w:trPr>
        <w:tc>
          <w:tcPr>
            <w:tcW w:type="dxa" w:w="7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1</w:t>
            </w:r>
          </w:p>
        </w:tc>
        <w:tc>
          <w:tcPr>
            <w:tcW w:type="dxa" w:w="33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Разделение задач отбора и атрибуции</w:t>
            </w:r>
          </w:p>
        </w:tc>
        <w:tc>
          <w:tcPr>
            <w:tcW w:type="dxa" w:w="5355"/>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Для каждой метрики указана задача; есть строка «только длина фрагмента» и контроль на фрагментах равной длины</w:t>
            </w:r>
          </w:p>
        </w:tc>
      </w:tr>
      <w:tr>
        <w:trPr>
          <w:cantSplit/>
        </w:trPr>
        <w:tc>
          <w:tcPr>
            <w:tcW w:type="dxa" w:w="7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2</w:t>
            </w:r>
          </w:p>
        </w:tc>
        <w:tc>
          <w:tcPr>
            <w:tcW w:type="dxa" w:w="33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Проверка эталона до проверки модели</w:t>
            </w:r>
          </w:p>
        </w:tc>
        <w:tc>
          <w:tcPr>
            <w:tcW w:type="dxa" w:w="5355"/>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Привязка и ссылки подтверждены; ручная выборка не менее 40 записей с метками и интервалом Уилсона</w:t>
            </w:r>
          </w:p>
        </w:tc>
      </w:tr>
      <w:tr>
        <w:trPr>
          <w:cantSplit/>
        </w:trPr>
        <w:tc>
          <w:tcPr>
            <w:tcW w:type="dxa" w:w="7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3</w:t>
            </w:r>
          </w:p>
        </w:tc>
        <w:tc>
          <w:tcPr>
            <w:tcW w:type="dxa" w:w="33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Потолок признака и знаменатель</w:t>
            </w:r>
          </w:p>
        </w:tc>
        <w:tc>
          <w:tcPr>
            <w:tcW w:type="dxa" w:w="5355"/>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Приведены две цифры: полнота от всех записей и от записей с мостиком (общая редкая основа или два содержательных слова подряд)</w:t>
            </w:r>
          </w:p>
        </w:tc>
      </w:tr>
      <w:tr>
        <w:trPr>
          <w:cantSplit/>
        </w:trPr>
        <w:tc>
          <w:tcPr>
            <w:tcW w:type="dxa" w:w="7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4</w:t>
            </w:r>
          </w:p>
        </w:tc>
        <w:tc>
          <w:tcPr>
            <w:tcW w:type="dxa" w:w="33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Исключение выигрыша, объяснимого устройством эталона</w:t>
            </w:r>
          </w:p>
        </w:tc>
        <w:tc>
          <w:tcPr>
            <w:tcW w:type="dxa" w:w="5355"/>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Результат на диапазонных ссылках подтверждён на одиночных</w:t>
            </w:r>
          </w:p>
        </w:tc>
      </w:tr>
      <w:tr>
        <w:trPr>
          <w:cantSplit/>
        </w:trPr>
        <w:tc>
          <w:tcPr>
            <w:tcW w:type="dxa" w:w="7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5</w:t>
            </w:r>
          </w:p>
        </w:tc>
        <w:tc>
          <w:tcPr>
            <w:tcW w:type="dxa" w:w="33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Статистика по объектам и предрегистрация</w:t>
            </w:r>
          </w:p>
        </w:tc>
        <w:tc>
          <w:tcPr>
            <w:tcW w:type="dxa" w:w="5355"/>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Бутстрап по объектам; журнал сравнений с поправками; статус «предзаданное» или «разведочное»</w:t>
            </w:r>
          </w:p>
        </w:tc>
      </w:tr>
      <w:tr>
        <w:trPr>
          <w:cantSplit/>
        </w:trPr>
        <w:tc>
          <w:tcPr>
            <w:tcW w:type="dxa" w:w="7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6</w:t>
            </w:r>
          </w:p>
        </w:tc>
        <w:tc>
          <w:tcPr>
            <w:tcW w:type="dxa" w:w="33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Контроли артефактов и контаминации</w:t>
            </w:r>
          </w:p>
        </w:tc>
        <w:tc>
          <w:tcPr>
            <w:tcW w:type="dxa" w:w="5355"/>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Эффект измерен как разность с плацебо; проверена доля абзацев с одним и тем же первым кандидатом</w:t>
            </w:r>
          </w:p>
        </w:tc>
      </w:tr>
      <w:tr>
        <w:trPr>
          <w:cantSplit/>
        </w:trPr>
        <w:tc>
          <w:tcPr>
            <w:tcW w:type="dxa" w:w="7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7</w:t>
            </w:r>
          </w:p>
        </w:tc>
        <w:tc>
          <w:tcPr>
            <w:tcW w:type="dxa" w:w="33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Защита от тихих отказов</w:t>
            </w:r>
          </w:p>
        </w:tc>
        <w:tc>
          <w:tcPr>
            <w:tcW w:type="dxa" w:w="5355"/>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Нулевые признаки и пустые пересечения проверяются автоматически; точность кэша и детерминизм проверены; отброшенные записи названы вслух</w:t>
            </w:r>
          </w:p>
        </w:tc>
      </w:tr>
    </w:tbl>
    <w:p>
      <w:pPr>
        <w:keepNext w:val="0"/>
        <w:widowControl/>
        <w:spacing w:line="240" w:lineRule="auto" w:before="0" w:after="120"/>
        <w:jc w:val="left"/>
      </w:pPr>
    </w:p>
    <w:p>
      <w:pPr>
        <w:keepNext w:val="0"/>
        <w:widowControl/>
        <w:spacing w:line="360" w:lineRule="auto" w:before="0" w:after="0"/>
        <w:ind w:firstLine="709"/>
        <w:jc w:val="both"/>
      </w:pPr>
      <w:r>
        <w:rPr>
          <w:rFonts w:ascii="Times New Roman" w:hAnsi="Times New Roman" w:eastAsia="Times New Roman"/>
          <w:b w:val="0"/>
          <w:i w:val="0"/>
          <w:sz w:val="24"/>
        </w:rPr>
        <w:t>Проверка переноса проведена на двух материалах, для которых скореры написаны заново и ничего из пилота не переносилось, кроме самого протокола. Материал A: поэма Дж. Мильтона «Потерянный рай» и английская Библия (версия короля Якова), 393 записи в начальном эталоне, 156 абзацев, эталон составлен по примечаниям Лаксона. Материал B: тот же текст и произведения Вергилия, Гомера и Овидия в переводах, единицей служит книга, 98 записей, 58 абзацев. Критерии заданы заранее и в ходе проверки не менялись; исправления собственного кода записывались отдельно. Основная метрика: средний логарифм ранга правильного источника; дополнительно использованы полнота при заданном ранге, интервалы Уилсона и бутстрап. Дополнительно шаги 2 и 3 выполнены независимым исполнителем (новой сессией модели без доступа к репозиторию) по тексту протокола.</w:t>
      </w:r>
    </w:p>
    <w:p>
      <w:pPr>
        <w:keepNext/>
        <w:widowControl/>
        <w:spacing w:line="360" w:lineRule="auto" w:before="120" w:after="60"/>
        <w:jc w:val="center"/>
      </w:pPr>
      <w:r>
        <w:rPr>
          <w:rFonts w:ascii="Times New Roman" w:hAnsi="Times New Roman" w:eastAsia="Times New Roman"/>
          <w:b/>
          <w:i w:val="0"/>
          <w:sz w:val="24"/>
        </w:rPr>
        <w:t>6. Результаты</w:t>
      </w:r>
    </w:p>
    <w:p>
      <w:pPr>
        <w:keepNext/>
        <w:widowControl/>
        <w:spacing w:line="360" w:lineRule="auto" w:before="60" w:after="40"/>
        <w:ind w:firstLine="709"/>
        <w:jc w:val="left"/>
      </w:pPr>
      <w:r>
        <w:rPr>
          <w:rFonts w:ascii="Times New Roman" w:hAnsi="Times New Roman" w:eastAsia="Times New Roman"/>
          <w:b/>
          <w:i/>
          <w:sz w:val="24"/>
        </w:rPr>
        <w:t>6.1. Пилотное исследование</w:t>
      </w:r>
    </w:p>
    <w:p>
      <w:pPr>
        <w:keepNext w:val="0"/>
        <w:widowControl/>
        <w:spacing w:line="360" w:lineRule="auto" w:before="0" w:after="0"/>
        <w:ind w:firstLine="709"/>
        <w:jc w:val="both"/>
      </w:pPr>
      <w:r>
        <w:rPr>
          <w:rFonts w:ascii="Times New Roman" w:hAnsi="Times New Roman" w:eastAsia="Times New Roman"/>
          <w:b w:val="0"/>
          <w:i w:val="0"/>
          <w:sz w:val="24"/>
        </w:rPr>
        <w:t>Полнота трёх слоёв относительно 64 документированных мест составила 8% для лексики, 5% для семантики и 33% для синтаксиса; объединение дало 37,5%, причём ни одно место не нашлось всеми тремя слоями сразу. Повторный полный прогон воспроизвёл 8% и 33%. Длина абзаца предсказывала наличие разметки лучше любого слоя (площадь под ROC-кривой 0,871 против 0,839 у синтаксиса), а среди абзацев сопоставимой длины (±20%) качество слоёв снижалось до 0,55-0,62. Проверка эталона обнаружила 6 записей с неверной нумерацией Псалтири и 14 с привязкой к абзацам другой экстракции романа: 20 из 65 записей были недостижимы по построению. У 10 из 64 записей общего мостика с источником не нашлось, так что достижимый потолок составил около 89%.</w:t>
      </w:r>
    </w:p>
    <w:p>
      <w:pPr>
        <w:keepNext w:val="0"/>
        <w:widowControl/>
        <w:spacing w:line="360" w:lineRule="auto" w:before="0" w:after="0"/>
        <w:ind w:firstLine="709"/>
        <w:jc w:val="both"/>
      </w:pPr>
      <w:r>
        <w:rPr>
          <w:rFonts w:ascii="Times New Roman" w:hAnsi="Times New Roman" w:eastAsia="Times New Roman"/>
          <w:b w:val="0"/>
          <w:i w:val="0"/>
          <w:sz w:val="24"/>
        </w:rPr>
        <w:t>Выигрыш, объяснимый устройством эталона, проявился в сравнении диапазонных и одиночных ссылок: медиана ранга снизилась с 538 до 176 по всем местам, а на одиночных ссылках изменилась с 631 до 620. Статистическая процедура также исправлялась: бутстрап по парам давал интервал 0,629-0,641, бутстрап по объектам даёт 0,504-0,681. Эффект признака неожиданности (surprisal), найденный на 64 местах, на независимых данных («Братья Карамазовы») заранее заданное правило не прошёл (разность логарифма ранга минус 0,27 и минус 0,14 при p = 0,16 и 0,24). Языковая модель в роли судьи показала на жёстких обманках оценку 0,52 против 0,53 на золоте, а повторные запуски меняли вердикт в 12-19% случаев. Один из скореров оказался нулевым в 157 883 строках; дефект выявлен потому, что результаты не воспроизвелись со второй итерацией (медиана 411 против 220).</w:t>
      </w:r>
    </w:p>
    <w:p>
      <w:pPr>
        <w:keepNext/>
        <w:widowControl/>
        <w:spacing w:line="360" w:lineRule="auto" w:before="60" w:after="40"/>
        <w:ind w:firstLine="709"/>
        <w:jc w:val="left"/>
      </w:pPr>
      <w:r>
        <w:rPr>
          <w:rFonts w:ascii="Times New Roman" w:hAnsi="Times New Roman" w:eastAsia="Times New Roman"/>
          <w:b/>
          <w:i/>
          <w:sz w:val="24"/>
        </w:rPr>
        <w:t>6.2. Проверка на других материалах</w:t>
      </w:r>
    </w:p>
    <w:p>
      <w:pPr>
        <w:keepNext w:val="0"/>
        <w:widowControl/>
        <w:spacing w:line="360" w:lineRule="auto" w:before="0" w:after="0"/>
        <w:ind w:firstLine="709"/>
        <w:jc w:val="both"/>
      </w:pPr>
      <w:r>
        <w:rPr>
          <w:rFonts w:ascii="Times New Roman" w:hAnsi="Times New Roman" w:eastAsia="Times New Roman"/>
          <w:b w:val="0"/>
          <w:i w:val="0"/>
          <w:sz w:val="24"/>
        </w:rPr>
        <w:t>Результаты по шагам приведены в таблице 3.</w:t>
      </w:r>
    </w:p>
    <w:p>
      <w:pPr>
        <w:keepNext/>
        <w:widowControl/>
        <w:spacing w:line="276" w:lineRule="auto" w:before="160" w:after="80"/>
        <w:jc w:val="left"/>
      </w:pPr>
      <w:r>
        <w:rPr>
          <w:rFonts w:ascii="Times New Roman" w:hAnsi="Times New Roman" w:eastAsia="Times New Roman"/>
          <w:b w:val="0"/>
          <w:i w:val="0"/>
          <w:sz w:val="24"/>
        </w:rPr>
        <w:t>Таблица 3. Дефекты, найденные на шагах протокола в материалах A и B</w:t>
      </w:r>
    </w:p>
    <w:tbl>
      <w:tblPr>
        <w:tblW w:type="auto" w:w="0"/>
        <w:jc w:val="left"/>
        <w:tblLayout w:type="fixed"/>
        <w:tblLook w:firstColumn="1" w:firstRow="1" w:lastColumn="0" w:lastRow="0" w:noHBand="0" w:noVBand="1" w:val="04A0"/>
      </w:tblPr>
      <w:tblGrid>
        <w:gridCol w:w="3118"/>
        <w:gridCol w:w="3118"/>
        <w:gridCol w:w="3118"/>
      </w:tblGrid>
      <w:tr>
        <w:trPr>
          <w:cantSplit/>
          <w:tblHeader/>
        </w:trPr>
        <w:tc>
          <w:tcPr>
            <w:tcW w:type="dxa" w:w="2000"/>
            <w:tcBorders>
              <w:top w:val="single" w:sz="4" w:color="000000"/>
              <w:left w:val="single" w:sz="4" w:color="000000"/>
              <w:bottom w:val="single" w:sz="4" w:color="000000"/>
              <w:right w:val="single" w:sz="4" w:color="000000"/>
            </w:tcBorders>
            <w:shd w:val="clear" w:color="auto" w:fill="E7E7E7"/>
          </w:tcPr>
          <w:p>
            <w:pPr>
              <w:spacing w:line="240" w:lineRule="auto"/>
              <w:jc w:val="left"/>
            </w:pPr>
            <w:r>
              <w:rPr>
                <w:rFonts w:ascii="Times New Roman" w:hAnsi="Times New Roman" w:eastAsia="Times New Roman"/>
                <w:b/>
                <w:i w:val="0"/>
                <w:sz w:val="20"/>
              </w:rPr>
              <w:t>Шаг</w:t>
            </w:r>
          </w:p>
        </w:tc>
        <w:tc>
          <w:tcPr>
            <w:tcW w:type="dxa" w:w="3678"/>
            <w:tcBorders>
              <w:top w:val="single" w:sz="4" w:color="000000"/>
              <w:left w:val="single" w:sz="4" w:color="000000"/>
              <w:bottom w:val="single" w:sz="4" w:color="000000"/>
              <w:right w:val="single" w:sz="4" w:color="000000"/>
            </w:tcBorders>
            <w:shd w:val="clear" w:color="auto" w:fill="E7E7E7"/>
          </w:tcPr>
          <w:p>
            <w:pPr>
              <w:spacing w:line="240" w:lineRule="auto"/>
              <w:jc w:val="left"/>
            </w:pPr>
            <w:r>
              <w:rPr>
                <w:rFonts w:ascii="Times New Roman" w:hAnsi="Times New Roman" w:eastAsia="Times New Roman"/>
                <w:b/>
                <w:i w:val="0"/>
                <w:sz w:val="20"/>
              </w:rPr>
              <w:t>Материал A (Мильтон, Библия)</w:t>
            </w:r>
          </w:p>
        </w:tc>
        <w:tc>
          <w:tcPr>
            <w:tcW w:type="dxa" w:w="3677"/>
            <w:tcBorders>
              <w:top w:val="single" w:sz="4" w:color="000000"/>
              <w:left w:val="single" w:sz="4" w:color="000000"/>
              <w:bottom w:val="single" w:sz="4" w:color="000000"/>
              <w:right w:val="single" w:sz="4" w:color="000000"/>
            </w:tcBorders>
            <w:shd w:val="clear" w:color="auto" w:fill="E7E7E7"/>
          </w:tcPr>
          <w:p>
            <w:pPr>
              <w:spacing w:line="240" w:lineRule="auto"/>
              <w:jc w:val="left"/>
            </w:pPr>
            <w:r>
              <w:rPr>
                <w:rFonts w:ascii="Times New Roman" w:hAnsi="Times New Roman" w:eastAsia="Times New Roman"/>
                <w:b/>
                <w:i w:val="0"/>
                <w:sz w:val="20"/>
              </w:rPr>
              <w:t>Материал B (Мильтон, классика)</w:t>
            </w:r>
          </w:p>
        </w:tc>
      </w:tr>
      <w:tr>
        <w:trPr>
          <w:cantSplit/>
        </w:trPr>
        <w:tc>
          <w:tcPr>
            <w:tcW w:type="dxa" w:w="20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1. Отбор и атрибуция</w:t>
            </w:r>
          </w:p>
        </w:tc>
        <w:tc>
          <w:tcPr>
            <w:tcW w:type="dxa" w:w="3678"/>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Дефект: площадь под ROC-кривой «только длина» 0,808 против 0,819 у лучшего скорера; при выравнивании длины 0,59</w:t>
            </w:r>
          </w:p>
        </w:tc>
        <w:tc>
          <w:tcPr>
            <w:tcW w:type="dxa" w:w="3677"/>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Дефект: 0,823 против 0,823; при выравнивании 0,56</w:t>
            </w:r>
          </w:p>
        </w:tc>
      </w:tr>
      <w:tr>
        <w:trPr>
          <w:cantSplit/>
        </w:trPr>
        <w:tc>
          <w:tcPr>
            <w:tcW w:type="dxa" w:w="20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2. Эталон</w:t>
            </w:r>
          </w:p>
        </w:tc>
        <w:tc>
          <w:tcPr>
            <w:tcW w:type="dxa" w:w="3678"/>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Дефект: 6 неверных ссылок, 3 дубля; в ручной выборке 25% записей (10 из 40, интервал 14-40%) ссылаются не на источник строки</w:t>
            </w:r>
          </w:p>
        </w:tc>
        <w:tc>
          <w:tcPr>
            <w:tcW w:type="dxa" w:w="3677"/>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Дефект по ручной выборке: 35% записей «фон» (14 из 40, интервал 22-51%); 5 дублей</w:t>
            </w:r>
          </w:p>
        </w:tc>
      </w:tr>
      <w:tr>
        <w:trPr>
          <w:cantSplit/>
        </w:trPr>
        <w:tc>
          <w:tcPr>
            <w:tcW w:type="dxa" w:w="20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3. Потолок и знаменатель</w:t>
            </w:r>
          </w:p>
        </w:tc>
        <w:tc>
          <w:tcPr>
            <w:tcW w:type="dxa" w:w="3678"/>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Дефект: без мостика 35,6% записей; полнота 0,438 от всех и 0,566 от имеющих мостик</w:t>
            </w:r>
          </w:p>
        </w:tc>
        <w:tc>
          <w:tcPr>
            <w:tcW w:type="dxa" w:w="3677"/>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Дефект: без мостика 52,7%; полнота 0,409 от всех и 0,614 от имеющих мостик</w:t>
            </w:r>
          </w:p>
        </w:tc>
      </w:tr>
      <w:tr>
        <w:trPr>
          <w:cantSplit/>
        </w:trPr>
        <w:tc>
          <w:tcPr>
            <w:tcW w:type="dxa" w:w="20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4. Устройство эталона</w:t>
            </w:r>
          </w:p>
        </w:tc>
        <w:tc>
          <w:tcPr>
            <w:tcW w:type="dxa" w:w="3678"/>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Дефект по заданному критерию не найден (6,6% при пороге 10%); диапазоны легче одиночных на 17%</w:t>
            </w:r>
          </w:p>
        </w:tc>
        <w:tc>
          <w:tcPr>
            <w:tcW w:type="dxa" w:w="3677"/>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Не найден (1,2%)</w:t>
            </w:r>
          </w:p>
        </w:tc>
      </w:tr>
      <w:tr>
        <w:trPr>
          <w:cantSplit/>
        </w:trPr>
        <w:tc>
          <w:tcPr>
            <w:tcW w:type="dxa" w:w="20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5. Статистика</w:t>
            </w:r>
          </w:p>
        </w:tc>
        <w:tc>
          <w:tcPr>
            <w:tcW w:type="dxa" w:w="3678"/>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Не найден (отношение ширин интервалов 1,27)</w:t>
            </w:r>
          </w:p>
        </w:tc>
        <w:tc>
          <w:tcPr>
            <w:tcW w:type="dxa" w:w="3677"/>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Не найден (0,96)</w:t>
            </w:r>
          </w:p>
        </w:tc>
      </w:tr>
      <w:tr>
        <w:trPr>
          <w:cantSplit/>
        </w:trPr>
        <w:tc>
          <w:tcPr>
            <w:tcW w:type="dxa" w:w="20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6. Контроли</w:t>
            </w:r>
          </w:p>
        </w:tc>
        <w:tc>
          <w:tcPr>
            <w:tcW w:type="dxa" w:w="3678"/>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Дефект: плацебо лучше случайного порядка (средний логарифм ранга ниже на 0,8-1,2); хаб в 8% абзацев</w:t>
            </w:r>
          </w:p>
        </w:tc>
        <w:tc>
          <w:tcPr>
            <w:tcW w:type="dxa" w:w="3677"/>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Дефект: один из источников стоит первым у 62% абзацев</w:t>
            </w:r>
          </w:p>
        </w:tc>
      </w:tr>
      <w:tr>
        <w:trPr>
          <w:cantSplit/>
        </w:trPr>
        <w:tc>
          <w:tcPr>
            <w:tcW w:type="dxa" w:w="20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7. Тихие отказы</w:t>
            </w:r>
          </w:p>
        </w:tc>
        <w:tc>
          <w:tcPr>
            <w:tcW w:type="dxa" w:w="3678"/>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Три дефекта собственного кода (точность кэша, зависимость от семени хеширования, молчаливое отбрасывание записи)</w:t>
            </w:r>
          </w:p>
        </w:tc>
        <w:tc>
          <w:tcPr>
            <w:tcW w:type="dxa" w:w="3677"/>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Не найден</w:t>
            </w:r>
          </w:p>
        </w:tc>
      </w:tr>
    </w:tbl>
    <w:p>
      <w:pPr>
        <w:keepNext w:val="0"/>
        <w:widowControl/>
        <w:spacing w:line="240" w:lineRule="auto" w:before="0" w:after="120"/>
        <w:jc w:val="left"/>
      </w:pPr>
    </w:p>
    <w:p>
      <w:pPr>
        <w:keepNext w:val="0"/>
        <w:widowControl/>
        <w:spacing w:line="360" w:lineRule="auto" w:before="0" w:after="0"/>
        <w:ind w:firstLine="709"/>
        <w:jc w:val="both"/>
      </w:pPr>
      <w:r>
        <w:rPr>
          <w:rFonts w:ascii="Times New Roman" w:hAnsi="Times New Roman" w:eastAsia="Times New Roman"/>
          <w:b w:val="0"/>
          <w:i w:val="0"/>
          <w:sz w:val="24"/>
        </w:rPr>
        <w:t>Влияние шагов на вывод показывает таблица 4. Средний логарифм ранга для BM25 на материале A изменился с 6,568 при наивной оценке до 5,711 после ограничения записями с мостиком, на материале B с 2,467 до 1,871. Выигрыш над случайным порядком составил 3,19 и 1,59, а над контролем-плацебо 2,21 и 0,37. Таким образом, на материале B вывод о том, что метод находит источник, после контроля сводится к малому эффекту на фоне хаба.</w:t>
      </w:r>
    </w:p>
    <w:p>
      <w:pPr>
        <w:keepNext/>
        <w:widowControl/>
        <w:spacing w:line="276" w:lineRule="auto" w:before="160" w:after="80"/>
        <w:jc w:val="left"/>
      </w:pPr>
      <w:r>
        <w:rPr>
          <w:rFonts w:ascii="Times New Roman" w:hAnsi="Times New Roman" w:eastAsia="Times New Roman"/>
          <w:b w:val="0"/>
          <w:i w:val="0"/>
          <w:sz w:val="24"/>
        </w:rPr>
        <w:t>Таблица 4. Средний логарифм ранга BM25 и выигрыш над контролями</w:t>
      </w:r>
    </w:p>
    <w:tbl>
      <w:tblPr>
        <w:tblW w:type="auto" w:w="0"/>
        <w:jc w:val="left"/>
        <w:tblLayout w:type="fixed"/>
        <w:tblLook w:firstColumn="1" w:firstRow="1" w:lastColumn="0" w:lastRow="0" w:noHBand="0" w:noVBand="1" w:val="04A0"/>
      </w:tblPr>
      <w:tblGrid>
        <w:gridCol w:w="3118"/>
        <w:gridCol w:w="3118"/>
        <w:gridCol w:w="3118"/>
      </w:tblGrid>
      <w:tr>
        <w:trPr>
          <w:cantSplit/>
          <w:tblHeader/>
        </w:trPr>
        <w:tc>
          <w:tcPr>
            <w:tcW w:type="dxa" w:w="4000"/>
            <w:tcBorders>
              <w:top w:val="single" w:sz="4" w:color="000000"/>
              <w:left w:val="single" w:sz="4" w:color="000000"/>
              <w:bottom w:val="single" w:sz="4" w:color="000000"/>
              <w:right w:val="single" w:sz="4" w:color="000000"/>
            </w:tcBorders>
            <w:shd w:val="clear" w:color="auto" w:fill="E7E7E7"/>
          </w:tcPr>
          <w:p>
            <w:pPr>
              <w:spacing w:line="240" w:lineRule="auto"/>
              <w:jc w:val="left"/>
            </w:pPr>
            <w:r>
              <w:rPr>
                <w:rFonts w:ascii="Times New Roman" w:hAnsi="Times New Roman" w:eastAsia="Times New Roman"/>
                <w:b/>
                <w:i w:val="0"/>
                <w:sz w:val="20"/>
              </w:rPr>
              <w:t>Показатель</w:t>
            </w:r>
          </w:p>
        </w:tc>
        <w:tc>
          <w:tcPr>
            <w:tcW w:type="dxa" w:w="2677"/>
            <w:tcBorders>
              <w:top w:val="single" w:sz="4" w:color="000000"/>
              <w:left w:val="single" w:sz="4" w:color="000000"/>
              <w:bottom w:val="single" w:sz="4" w:color="000000"/>
              <w:right w:val="single" w:sz="4" w:color="000000"/>
            </w:tcBorders>
            <w:shd w:val="clear" w:color="auto" w:fill="E7E7E7"/>
          </w:tcPr>
          <w:p>
            <w:pPr>
              <w:spacing w:line="240" w:lineRule="auto"/>
              <w:jc w:val="left"/>
            </w:pPr>
            <w:r>
              <w:rPr>
                <w:rFonts w:ascii="Times New Roman" w:hAnsi="Times New Roman" w:eastAsia="Times New Roman"/>
                <w:b/>
                <w:i w:val="0"/>
                <w:sz w:val="20"/>
              </w:rPr>
              <w:t>Материал A</w:t>
            </w:r>
          </w:p>
        </w:tc>
        <w:tc>
          <w:tcPr>
            <w:tcW w:type="dxa" w:w="2678"/>
            <w:tcBorders>
              <w:top w:val="single" w:sz="4" w:color="000000"/>
              <w:left w:val="single" w:sz="4" w:color="000000"/>
              <w:bottom w:val="single" w:sz="4" w:color="000000"/>
              <w:right w:val="single" w:sz="4" w:color="000000"/>
            </w:tcBorders>
            <w:shd w:val="clear" w:color="auto" w:fill="E7E7E7"/>
          </w:tcPr>
          <w:p>
            <w:pPr>
              <w:spacing w:line="240" w:lineRule="auto"/>
              <w:jc w:val="left"/>
            </w:pPr>
            <w:r>
              <w:rPr>
                <w:rFonts w:ascii="Times New Roman" w:hAnsi="Times New Roman" w:eastAsia="Times New Roman"/>
                <w:b/>
                <w:i w:val="0"/>
                <w:sz w:val="20"/>
              </w:rPr>
              <w:t>Материал B</w:t>
            </w:r>
          </w:p>
        </w:tc>
      </w:tr>
      <w:tr>
        <w:trPr>
          <w:cantSplit/>
        </w:trPr>
        <w:tc>
          <w:tcPr>
            <w:tcW w:type="dxa" w:w="40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Наивная оценка (все записи)</w:t>
            </w:r>
          </w:p>
        </w:tc>
        <w:tc>
          <w:tcPr>
            <w:tcW w:type="dxa" w:w="2677"/>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6,568</w:t>
            </w:r>
          </w:p>
        </w:tc>
        <w:tc>
          <w:tcPr>
            <w:tcW w:type="dxa" w:w="2678"/>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2,467</w:t>
            </w:r>
          </w:p>
        </w:tc>
      </w:tr>
      <w:tr>
        <w:trPr>
          <w:cantSplit/>
        </w:trPr>
        <w:tc>
          <w:tcPr>
            <w:tcW w:type="dxa" w:w="40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После шага 3 (записи с мостиком)</w:t>
            </w:r>
          </w:p>
        </w:tc>
        <w:tc>
          <w:tcPr>
            <w:tcW w:type="dxa" w:w="2677"/>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5,711</w:t>
            </w:r>
          </w:p>
        </w:tc>
        <w:tc>
          <w:tcPr>
            <w:tcW w:type="dxa" w:w="2678"/>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1,871</w:t>
            </w:r>
          </w:p>
        </w:tc>
      </w:tr>
      <w:tr>
        <w:trPr>
          <w:cantSplit/>
        </w:trPr>
        <w:tc>
          <w:tcPr>
            <w:tcW w:type="dxa" w:w="40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Выигрыш над случайным порядком</w:t>
            </w:r>
          </w:p>
        </w:tc>
        <w:tc>
          <w:tcPr>
            <w:tcW w:type="dxa" w:w="2677"/>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3,19</w:t>
            </w:r>
          </w:p>
        </w:tc>
        <w:tc>
          <w:tcPr>
            <w:tcW w:type="dxa" w:w="2678"/>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1,59</w:t>
            </w:r>
          </w:p>
        </w:tc>
      </w:tr>
      <w:tr>
        <w:trPr>
          <w:cantSplit/>
        </w:trPr>
        <w:tc>
          <w:tcPr>
            <w:tcW w:type="dxa" w:w="4000"/>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Выигрыш над плацебо</w:t>
            </w:r>
          </w:p>
        </w:tc>
        <w:tc>
          <w:tcPr>
            <w:tcW w:type="dxa" w:w="2677"/>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2,21 (меньше на 31%)</w:t>
            </w:r>
          </w:p>
        </w:tc>
        <w:tc>
          <w:tcPr>
            <w:tcW w:type="dxa" w:w="2678"/>
            <w:tcBorders>
              <w:top w:val="single" w:sz="4" w:color="000000"/>
              <w:left w:val="single" w:sz="4" w:color="000000"/>
              <w:bottom w:val="single" w:sz="4" w:color="000000"/>
              <w:right w:val="single" w:sz="4" w:color="000000"/>
            </w:tcBorders>
          </w:tcPr>
          <w:p>
            <w:pPr>
              <w:spacing w:line="240" w:lineRule="auto"/>
              <w:jc w:val="left"/>
            </w:pPr>
            <w:r>
              <w:rPr>
                <w:rFonts w:ascii="Times New Roman" w:hAnsi="Times New Roman" w:eastAsia="Times New Roman"/>
                <w:b w:val="0"/>
                <w:i w:val="0"/>
                <w:sz w:val="20"/>
              </w:rPr>
              <w:t>0,37 (меньше на 77%)</w:t>
            </w:r>
          </w:p>
        </w:tc>
      </w:tr>
    </w:tbl>
    <w:p>
      <w:pPr>
        <w:keepNext w:val="0"/>
        <w:widowControl/>
        <w:spacing w:line="240" w:lineRule="auto" w:before="0" w:after="120"/>
        <w:jc w:val="left"/>
      </w:pPr>
    </w:p>
    <w:p>
      <w:pPr>
        <w:keepNext w:val="0"/>
        <w:widowControl/>
        <w:spacing w:line="360" w:lineRule="auto" w:before="0" w:after="0"/>
        <w:ind w:firstLine="709"/>
        <w:jc w:val="both"/>
      </w:pPr>
      <w:r>
        <w:rPr>
          <w:rFonts w:ascii="Times New Roman" w:hAnsi="Times New Roman" w:eastAsia="Times New Roman"/>
          <w:b w:val="0"/>
          <w:i w:val="0"/>
          <w:sz w:val="24"/>
        </w:rPr>
        <w:t>Из предрегистрированных гипотез о самом протоколе не подтвердились две. Ожидание, что контроль-плацебо близок к случайному порядку, не выполнилось на обоих материалах: плацебо оказалось лучше случайного из-за хабов и тематической близости внутри книги. Ожидание, что шаги 2-4 дают один и тот же результат при любой перестановке, не выполнилось на материале A, где получено четыре разных итоговых множества записей (от 144 до 147), поэтому в версию 0.2 внесено требование выполнять правку эталона первой. Шаги 4 и 5 на новых материалах дефектов не выявили; они сохранены с условиями применимости.</w:t>
      </w:r>
    </w:p>
    <w:p>
      <w:pPr>
        <w:keepNext w:val="0"/>
        <w:widowControl/>
        <w:spacing w:line="360" w:lineRule="auto" w:before="0" w:after="0"/>
        <w:ind w:firstLine="709"/>
        <w:jc w:val="both"/>
      </w:pPr>
      <w:r>
        <w:rPr>
          <w:rFonts w:ascii="Times New Roman" w:hAnsi="Times New Roman" w:eastAsia="Times New Roman"/>
          <w:b w:val="0"/>
          <w:i w:val="0"/>
          <w:sz w:val="24"/>
        </w:rPr>
        <w:t>Независимый исполнитель воспроизвёл шаг 2: доли записей по меткам совпали (65, 35 и 0%), запись в запись совпало 80%, каппа составила 0,56. Шаг 3 не воспроизведён: на одних и тех же данных получено 49 и 23 записи без мостика при допуске ±3. Причиной стало отсутствие в тексте протокола числовых порогов для «редкой основы» и «двух слов подряд», после чего они были заданы числом.</w:t>
      </w:r>
    </w:p>
    <w:p>
      <w:pPr>
        <w:keepNext/>
        <w:widowControl/>
        <w:spacing w:line="360" w:lineRule="auto" w:before="120" w:after="60"/>
        <w:jc w:val="center"/>
      </w:pPr>
      <w:r>
        <w:rPr>
          <w:rFonts w:ascii="Times New Roman" w:hAnsi="Times New Roman" w:eastAsia="Times New Roman"/>
          <w:b/>
          <w:i w:val="0"/>
          <w:sz w:val="24"/>
        </w:rPr>
        <w:t>7. Обсуждение</w:t>
      </w:r>
    </w:p>
    <w:p>
      <w:pPr>
        <w:keepNext w:val="0"/>
        <w:widowControl/>
        <w:spacing w:line="360" w:lineRule="auto" w:before="0" w:after="0"/>
        <w:ind w:firstLine="709"/>
        <w:jc w:val="both"/>
      </w:pPr>
      <w:r>
        <w:rPr>
          <w:rFonts w:ascii="Times New Roman" w:hAnsi="Times New Roman" w:eastAsia="Times New Roman"/>
          <w:b w:val="0"/>
          <w:i w:val="0"/>
          <w:sz w:val="24"/>
        </w:rPr>
        <w:t>Результаты согласуются с зарубежными наблюдениями. Низкое согласие аннотаторов, отмеченное для аллюзивного повтора [27], соответствует доле записей «фона» в ручных выборках (25-35%): эталон, составленный по комментарию, в значительной мере описывает окрестность цитируемого места. Практика сверки результатов с комментариями [17, 19] получает при этом количественное уточнение: часть записей достижима лишь при наличии формального мостика, и полнота должна сообщаться относительно записей с мостиком отдельно.</w:t>
      </w:r>
    </w:p>
    <w:p>
      <w:pPr>
        <w:keepNext w:val="0"/>
        <w:widowControl/>
        <w:spacing w:line="360" w:lineRule="auto" w:before="0" w:after="0"/>
        <w:ind w:firstLine="709"/>
        <w:jc w:val="both"/>
      </w:pPr>
      <w:r>
        <w:rPr>
          <w:rFonts w:ascii="Times New Roman" w:hAnsi="Times New Roman" w:eastAsia="Times New Roman"/>
          <w:b w:val="0"/>
          <w:i w:val="0"/>
          <w:sz w:val="24"/>
        </w:rPr>
        <w:t>Применительно к российской литературе протокол закрывает пробел, отмеченный в разделе 2. Протокол задаёт условия, при которых результаты филологического анализа можно использовать как эталон. Комментарии типа [9], накопленные отечественным литературоведением, становятся пригодными для оценки алгоритмов после проверки привязки, нумерации источника и доли записей, имеющих текстовое свидетельство.</w:t>
      </w:r>
    </w:p>
    <w:p>
      <w:pPr>
        <w:keepNext w:val="0"/>
        <w:widowControl/>
        <w:spacing w:line="360" w:lineRule="auto" w:before="0" w:after="0"/>
        <w:ind w:firstLine="709"/>
        <w:jc w:val="both"/>
      </w:pPr>
      <w:r>
        <w:rPr>
          <w:rFonts w:ascii="Times New Roman" w:hAnsi="Times New Roman" w:eastAsia="Times New Roman"/>
          <w:b w:val="0"/>
          <w:i w:val="0"/>
          <w:sz w:val="24"/>
        </w:rPr>
        <w:t>Ограничения исследования существенны. Новые материалы используют один целевой текст и одного составителя эталона. Не проверены языки с богатой морфологией, кроме исходного русского материала, и тематические связи без общей лексики. Проверка языковых моделей выполнена только на исходном материале. Ручная разметка выполнена одним человеком, независимая проверка охватила два шага. Выборки малы, поэтому результат «не подтверждено» не равен результату «опровергнуто». Приведённые для пилота числа не следует цитировать как окончательные. В связи с этим универсальность протокола не заявляется, и корректная формулировка вывода состоит в том, что протокол выведен из одного случая и проверен на двух материалах при указанных ограничениях.</w:t>
      </w:r>
    </w:p>
    <w:p>
      <w:pPr>
        <w:keepNext/>
        <w:widowControl/>
        <w:spacing w:line="360" w:lineRule="auto" w:before="120" w:after="60"/>
        <w:jc w:val="center"/>
      </w:pPr>
      <w:r>
        <w:rPr>
          <w:rFonts w:ascii="Times New Roman" w:hAnsi="Times New Roman" w:eastAsia="Times New Roman"/>
          <w:b/>
          <w:i w:val="0"/>
          <w:sz w:val="24"/>
        </w:rPr>
        <w:t>Заключение</w:t>
      </w:r>
    </w:p>
    <w:p>
      <w:pPr>
        <w:keepNext w:val="0"/>
        <w:widowControl/>
        <w:spacing w:line="360" w:lineRule="auto" w:before="0" w:after="0"/>
        <w:ind w:firstLine="709"/>
        <w:jc w:val="both"/>
      </w:pPr>
      <w:r>
        <w:rPr>
          <w:rFonts w:ascii="Times New Roman" w:hAnsi="Times New Roman" w:eastAsia="Times New Roman"/>
          <w:b w:val="0"/>
          <w:i w:val="0"/>
          <w:sz w:val="24"/>
        </w:rPr>
        <w:t>Российская научная литература по интертекстуальности располагает развитой теорией и типологией, но методология алгоритмического обнаружения связей с оценкой на независимо проверенном эталоне в открытых источниках представлена слабо. Зарубежные вычислительные работы опираются на лексические, синтаксические, семантические признаки и признаки выравнивания последовательностей, при этом оценка почти везде зависит от эталона, составленного по комментариям. Общенаучные принципы (конструктная валидность, надёжность эталона, интервальное оценивание, предрегистрация, контроль утечки и базовых линий) позволяют превратить эту зависимость в проверяемое условие. Семишаговый протокол показал на трёх материалах, что наивная оценка заметно завышает результат: на материале B выигрыш над плацебо оказался на 77% меньше выигрыша над случайным порядком. Перспективы работы связаны с материалом на другом языке с богатой морфологией, привлечением нескольких независимых аннотаторов и расширением проверки на тематические связи без общей лексики.</w:t>
      </w:r>
    </w:p>
    <w:p>
      <w:pPr>
        <w:keepNext/>
        <w:widowControl/>
        <w:spacing w:line="360" w:lineRule="auto" w:before="120" w:after="60"/>
        <w:jc w:val="center"/>
      </w:pPr>
      <w:r>
        <w:rPr>
          <w:rFonts w:ascii="Times New Roman" w:hAnsi="Times New Roman" w:eastAsia="Times New Roman"/>
          <w:b/>
          <w:i w:val="0"/>
          <w:sz w:val="24"/>
        </w:rPr>
        <w:t>Доступность данных</w:t>
      </w:r>
    </w:p>
    <w:p>
      <w:pPr>
        <w:keepNext w:val="0"/>
        <w:widowControl/>
        <w:spacing w:line="360" w:lineRule="auto" w:before="0" w:after="0"/>
        <w:jc w:val="both"/>
      </w:pPr>
      <w:r>
        <w:rPr>
          <w:rFonts w:ascii="Times New Roman" w:hAnsi="Times New Roman" w:eastAsia="Times New Roman"/>
          <w:b w:val="0"/>
          <w:i w:val="0"/>
          <w:sz w:val="24"/>
        </w:rPr>
        <w:t>Скрипты, отчёты, журнал проверок и текст протокола размещены в репозитории проекта Intertext (файлы PROTOCOL.md и reports/ext/REPORT.md) [36].</w:t>
      </w:r>
    </w:p>
    <w:p>
      <w:pPr>
        <w:keepNext/>
        <w:widowControl/>
        <w:spacing w:line="360" w:lineRule="auto" w:before="120" w:after="60"/>
        <w:jc w:val="center"/>
      </w:pPr>
      <w:r>
        <w:rPr>
          <w:rFonts w:ascii="Times New Roman" w:hAnsi="Times New Roman" w:eastAsia="Times New Roman"/>
          <w:b/>
          <w:i w:val="0"/>
          <w:sz w:val="24"/>
        </w:rPr>
        <w:t>Конфликт интересов</w:t>
      </w:r>
    </w:p>
    <w:p>
      <w:pPr>
        <w:keepNext w:val="0"/>
        <w:widowControl/>
        <w:spacing w:line="360" w:lineRule="auto" w:before="0" w:after="0"/>
        <w:jc w:val="both"/>
      </w:pPr>
      <w:r>
        <w:rPr>
          <w:rFonts w:ascii="Times New Roman" w:hAnsi="Times New Roman" w:eastAsia="Times New Roman"/>
          <w:b w:val="0"/>
          <w:i w:val="0"/>
          <w:sz w:val="24"/>
        </w:rPr>
        <w:t>Автор заявляет об отсутствии конфликта интересов.</w:t>
      </w:r>
    </w:p>
    <w:p>
      <w:pPr>
        <w:keepNext/>
        <w:widowControl/>
        <w:spacing w:line="360" w:lineRule="auto" w:before="120" w:after="60"/>
        <w:jc w:val="center"/>
      </w:pPr>
      <w:r>
        <w:rPr>
          <w:rFonts w:ascii="Times New Roman" w:hAnsi="Times New Roman" w:eastAsia="Times New Roman"/>
          <w:b/>
          <w:i w:val="0"/>
          <w:sz w:val="24"/>
        </w:rPr>
        <w:t>Список литературы</w:t>
      </w:r>
    </w:p>
    <w:p>
      <w:pPr>
        <w:keepNext w:val="0"/>
        <w:widowControl/>
        <w:spacing w:line="276" w:lineRule="auto" w:before="0" w:after="60"/>
        <w:ind w:left="567" w:hanging="567"/>
        <w:jc w:val="both"/>
      </w:pPr>
      <w:r>
        <w:rPr>
          <w:rFonts w:ascii="Times New Roman" w:hAnsi="Times New Roman" w:eastAsia="Times New Roman"/>
          <w:b w:val="0"/>
          <w:i w:val="0"/>
          <w:sz w:val="22"/>
        </w:rPr>
        <w:t>1. Бахтин М. М. Проблемы поэтики Достоевского. 2-е изд. М.: Советский писатель, 1963. 363 с.</w:t>
      </w:r>
    </w:p>
    <w:p>
      <w:pPr>
        <w:keepNext w:val="0"/>
        <w:widowControl/>
        <w:spacing w:line="276" w:lineRule="auto" w:before="0" w:after="60"/>
        <w:ind w:left="567" w:hanging="567"/>
        <w:jc w:val="both"/>
      </w:pPr>
      <w:r>
        <w:rPr>
          <w:rFonts w:ascii="Times New Roman" w:hAnsi="Times New Roman" w:eastAsia="Times New Roman"/>
          <w:b w:val="0"/>
          <w:i w:val="0"/>
          <w:sz w:val="22"/>
        </w:rPr>
        <w:t>2. Ильин И. П. Постмодернизм от истоков до конца столетия: эволюция научного мифа. М.: Интрада, 1998. 250 с.</w:t>
      </w:r>
    </w:p>
    <w:p>
      <w:pPr>
        <w:keepNext w:val="0"/>
        <w:widowControl/>
        <w:spacing w:line="276" w:lineRule="auto" w:before="0" w:after="60"/>
        <w:ind w:left="567" w:hanging="567"/>
        <w:jc w:val="both"/>
      </w:pPr>
      <w:r>
        <w:rPr>
          <w:rFonts w:ascii="Times New Roman" w:hAnsi="Times New Roman" w:eastAsia="Times New Roman"/>
          <w:b w:val="0"/>
          <w:i w:val="0"/>
          <w:sz w:val="22"/>
        </w:rPr>
        <w:t>3. Караулов Ю. Н. Русский язык и языковая личность. М.: Наука, 1987. 264 с.</w:t>
      </w:r>
    </w:p>
    <w:p>
      <w:pPr>
        <w:keepNext w:val="0"/>
        <w:widowControl/>
        <w:spacing w:line="276" w:lineRule="auto" w:before="0" w:after="60"/>
        <w:ind w:left="567" w:hanging="567"/>
        <w:jc w:val="both"/>
      </w:pPr>
      <w:r>
        <w:rPr>
          <w:rFonts w:ascii="Times New Roman" w:hAnsi="Times New Roman" w:eastAsia="Times New Roman"/>
          <w:b w:val="0"/>
          <w:i w:val="0"/>
          <w:sz w:val="22"/>
        </w:rPr>
        <w:t>4. Касаткина Т. А. О творящей природе слова: онтологичность слова в творчестве Ф. М. Достоевского как основа «реализма в высшем смысле». М.: ИМЛИ РАН, 2004. 482 с.</w:t>
      </w:r>
    </w:p>
    <w:p>
      <w:pPr>
        <w:keepNext w:val="0"/>
        <w:widowControl/>
        <w:spacing w:line="276" w:lineRule="auto" w:before="0" w:after="60"/>
        <w:ind w:left="567" w:hanging="567"/>
        <w:jc w:val="both"/>
      </w:pPr>
      <w:r>
        <w:rPr>
          <w:rFonts w:ascii="Times New Roman" w:hAnsi="Times New Roman" w:eastAsia="Times New Roman"/>
          <w:b w:val="0"/>
          <w:i w:val="0"/>
          <w:sz w:val="22"/>
        </w:rPr>
        <w:t>5. Колозариди П. В., Беляк Г. Н. Цифровая гуманитаристика как стадия научного знания: четыре метафоры // Логос. 2024. Т. 34, № 6. С. 179-202.</w:t>
      </w:r>
    </w:p>
    <w:p>
      <w:pPr>
        <w:keepNext w:val="0"/>
        <w:widowControl/>
        <w:spacing w:line="276" w:lineRule="auto" w:before="0" w:after="60"/>
        <w:ind w:left="567" w:hanging="567"/>
        <w:jc w:val="both"/>
      </w:pPr>
      <w:r>
        <w:rPr>
          <w:rFonts w:ascii="Times New Roman" w:hAnsi="Times New Roman" w:eastAsia="Times New Roman"/>
          <w:b w:val="0"/>
          <w:i w:val="0"/>
          <w:sz w:val="22"/>
        </w:rPr>
        <w:t>6. Кузьмина Н. А. Интертекст и его роль в процессах эволюции поэтического языка. Екатеринбург: Изд-во Уральского университета; Омск: Омский государственный университет, 1999. 268 с.</w:t>
      </w:r>
    </w:p>
    <w:p>
      <w:pPr>
        <w:keepNext w:val="0"/>
        <w:widowControl/>
        <w:spacing w:line="276" w:lineRule="auto" w:before="0" w:after="60"/>
        <w:ind w:left="567" w:hanging="567"/>
        <w:jc w:val="both"/>
      </w:pPr>
      <w:r>
        <w:rPr>
          <w:rFonts w:ascii="Times New Roman" w:hAnsi="Times New Roman" w:eastAsia="Times New Roman"/>
          <w:b w:val="0"/>
          <w:i w:val="0"/>
          <w:sz w:val="22"/>
        </w:rPr>
        <w:t>7. Лотман Ю. М. Внутри мыслящих миров: человек, текст, семиосфера, история. М.: Языки русской культуры, 1996. 464 с.</w:t>
      </w:r>
    </w:p>
    <w:p>
      <w:pPr>
        <w:keepNext w:val="0"/>
        <w:widowControl/>
        <w:spacing w:line="276" w:lineRule="auto" w:before="0" w:after="60"/>
        <w:ind w:left="567" w:hanging="567"/>
        <w:jc w:val="both"/>
      </w:pPr>
      <w:r>
        <w:rPr>
          <w:rFonts w:ascii="Times New Roman" w:hAnsi="Times New Roman" w:eastAsia="Times New Roman"/>
          <w:b w:val="0"/>
          <w:i w:val="0"/>
          <w:sz w:val="22"/>
        </w:rPr>
        <w:t>8. Смирнов И. П. Порождение интертекста: элементы интертекстуального анализа с примерами из творчества Б. Л. Пастернака. СПб.: Языковый центр СПбГУ, 1995. 189 с.</w:t>
      </w:r>
    </w:p>
    <w:p>
      <w:pPr>
        <w:keepNext w:val="0"/>
        <w:widowControl/>
        <w:spacing w:line="276" w:lineRule="auto" w:before="0" w:after="60"/>
        <w:ind w:left="567" w:hanging="567"/>
        <w:jc w:val="both"/>
      </w:pPr>
      <w:r>
        <w:rPr>
          <w:rFonts w:ascii="Times New Roman" w:hAnsi="Times New Roman" w:eastAsia="Times New Roman"/>
          <w:b w:val="0"/>
          <w:i w:val="0"/>
          <w:sz w:val="22"/>
        </w:rPr>
        <w:t>9. Тихомиров Б. Н. «Лазарь! гряди вон»: роман Ф. М. Достоевского «Преступление и наказание» в современном прочтении: книга-комментарий. СПб.: Серебряный век, 2005. 472 с.</w:t>
      </w:r>
    </w:p>
    <w:p>
      <w:pPr>
        <w:keepNext w:val="0"/>
        <w:widowControl/>
        <w:spacing w:line="276" w:lineRule="auto" w:before="0" w:after="60"/>
        <w:ind w:left="567" w:hanging="567"/>
        <w:jc w:val="both"/>
      </w:pPr>
      <w:r>
        <w:rPr>
          <w:rFonts w:ascii="Times New Roman" w:hAnsi="Times New Roman" w:eastAsia="Times New Roman"/>
          <w:b w:val="0"/>
          <w:i w:val="0"/>
          <w:sz w:val="22"/>
        </w:rPr>
        <w:t>10. Тороп П. Х. Проблема интекста // Труды по знаковым системам. XIV: Текст в тексте. Тарту: Изд-во Тартуского государственного университета, 1981. С. 33-44.</w:t>
      </w:r>
    </w:p>
    <w:p>
      <w:pPr>
        <w:keepNext w:val="0"/>
        <w:widowControl/>
        <w:spacing w:line="276" w:lineRule="auto" w:before="0" w:after="60"/>
        <w:ind w:left="567" w:hanging="567"/>
        <w:jc w:val="both"/>
      </w:pPr>
      <w:r>
        <w:rPr>
          <w:rFonts w:ascii="Times New Roman" w:hAnsi="Times New Roman" w:eastAsia="Times New Roman"/>
          <w:b w:val="0"/>
          <w:i w:val="0"/>
          <w:sz w:val="22"/>
        </w:rPr>
        <w:t>11. Фатеева Н. А. Контрапункт интертекстуальности, или Интертекст в мире текстов. М.: Агар, 2000. 280 с.</w:t>
      </w:r>
    </w:p>
    <w:p>
      <w:pPr>
        <w:keepNext w:val="0"/>
        <w:widowControl/>
        <w:spacing w:line="276" w:lineRule="auto" w:before="0" w:after="60"/>
        <w:ind w:left="567" w:hanging="567"/>
        <w:jc w:val="both"/>
      </w:pPr>
      <w:r>
        <w:rPr>
          <w:rFonts w:ascii="Times New Roman" w:hAnsi="Times New Roman" w:eastAsia="Times New Roman"/>
          <w:b w:val="0"/>
          <w:i w:val="0"/>
          <w:sz w:val="22"/>
        </w:rPr>
        <w:t>12. Ямпольский М. Б. Память Тиресия: интертекстуальность и кинематограф. М.: Культура, 1993. 464 с.</w:t>
      </w:r>
    </w:p>
    <w:p>
      <w:pPr>
        <w:keepNext w:val="0"/>
        <w:widowControl/>
        <w:spacing w:line="276" w:lineRule="auto" w:before="0" w:after="60"/>
        <w:ind w:left="567" w:hanging="567"/>
        <w:jc w:val="both"/>
      </w:pPr>
      <w:r>
        <w:rPr>
          <w:rFonts w:ascii="Times New Roman" w:hAnsi="Times New Roman" w:eastAsia="Times New Roman"/>
          <w:b w:val="0"/>
          <w:i w:val="0"/>
          <w:sz w:val="22"/>
        </w:rPr>
        <w:t>13. Bamman D., Crane G. The logic and discovery of textual allusion // Proceedings of the 2nd Workshop on Language Technology for Cultural Heritage Data (LaTeCH 2008). Marrakech, 2008.</w:t>
      </w:r>
    </w:p>
    <w:p>
      <w:pPr>
        <w:keepNext w:val="0"/>
        <w:widowControl/>
        <w:spacing w:line="276" w:lineRule="auto" w:before="0" w:after="60"/>
        <w:ind w:left="567" w:hanging="567"/>
        <w:jc w:val="both"/>
      </w:pPr>
      <w:r>
        <w:rPr>
          <w:rFonts w:ascii="Times New Roman" w:hAnsi="Times New Roman" w:eastAsia="Times New Roman"/>
          <w:b w:val="0"/>
          <w:i w:val="0"/>
          <w:sz w:val="22"/>
        </w:rPr>
        <w:t>14. Bloom H. The anxiety of influence: a theory of poetry. New York: Oxford University Press, 1973. 157 p.</w:t>
      </w:r>
    </w:p>
    <w:p>
      <w:pPr>
        <w:keepNext w:val="0"/>
        <w:widowControl/>
        <w:spacing w:line="276" w:lineRule="auto" w:before="0" w:after="60"/>
        <w:ind w:left="567" w:hanging="567"/>
        <w:jc w:val="both"/>
      </w:pPr>
      <w:r>
        <w:rPr>
          <w:rFonts w:ascii="Times New Roman" w:hAnsi="Times New Roman" w:eastAsia="Times New Roman"/>
          <w:b w:val="0"/>
          <w:i w:val="0"/>
          <w:sz w:val="22"/>
        </w:rPr>
        <w:t>15. Broder A. Z. On the resemblance and containment of documents // Proceedings of Compression and Complexity of Sequences 1997. IEEE, 1997. P. 21-29.</w:t>
      </w:r>
    </w:p>
    <w:p>
      <w:pPr>
        <w:keepNext w:val="0"/>
        <w:widowControl/>
        <w:spacing w:line="276" w:lineRule="auto" w:before="0" w:after="60"/>
        <w:ind w:left="567" w:hanging="567"/>
        <w:jc w:val="both"/>
      </w:pPr>
      <w:r>
        <w:rPr>
          <w:rFonts w:ascii="Times New Roman" w:hAnsi="Times New Roman" w:eastAsia="Times New Roman"/>
          <w:b w:val="0"/>
          <w:i w:val="0"/>
          <w:sz w:val="22"/>
        </w:rPr>
        <w:t>16. Büchler M., Geßner A., Eckart T., Heyer G. Unsupervised detection and visualisation of textual reuse on ancient Greek texts // Journal of the Chicago Colloquium on Digital Humanities and Computer Science. 2010. Vol. 1, no. 2. DOI: 10.6082/M1PV6HJ9.</w:t>
      </w:r>
    </w:p>
    <w:p>
      <w:pPr>
        <w:keepNext w:val="0"/>
        <w:widowControl/>
        <w:spacing w:line="276" w:lineRule="auto" w:before="0" w:after="60"/>
        <w:ind w:left="567" w:hanging="567"/>
        <w:jc w:val="both"/>
      </w:pPr>
      <w:r>
        <w:rPr>
          <w:rFonts w:ascii="Times New Roman" w:hAnsi="Times New Roman" w:eastAsia="Times New Roman"/>
          <w:b w:val="0"/>
          <w:i w:val="0"/>
          <w:sz w:val="22"/>
        </w:rPr>
        <w:t>17. Coffee N., Koenig J.-P., Poornima S., Forstall C. W., Ossewaarde R., Jacobson S. L. The Tesserae Project: intertextual analysis of Latin poetry // Literary and Linguistic Computing. 2013. Vol. 28, no. 2. P. 221-228.</w:t>
      </w:r>
    </w:p>
    <w:p>
      <w:pPr>
        <w:keepNext w:val="0"/>
        <w:widowControl/>
        <w:spacing w:line="276" w:lineRule="auto" w:before="0" w:after="60"/>
        <w:ind w:left="567" w:hanging="567"/>
        <w:jc w:val="both"/>
      </w:pPr>
      <w:r>
        <w:rPr>
          <w:rFonts w:ascii="Times New Roman" w:hAnsi="Times New Roman" w:eastAsia="Times New Roman"/>
          <w:b w:val="0"/>
          <w:i w:val="0"/>
          <w:sz w:val="22"/>
        </w:rPr>
        <w:t>18. Cohen J. A coefficient of agreement for nominal scales // Educational and Psychological Measurement. 1960. Vol. 20, no. 1. P. 37-46.</w:t>
      </w:r>
    </w:p>
    <w:p>
      <w:pPr>
        <w:keepNext w:val="0"/>
        <w:widowControl/>
        <w:spacing w:line="276" w:lineRule="auto" w:before="0" w:after="60"/>
        <w:ind w:left="567" w:hanging="567"/>
        <w:jc w:val="both"/>
      </w:pPr>
      <w:r>
        <w:rPr>
          <w:rFonts w:ascii="Times New Roman" w:hAnsi="Times New Roman" w:eastAsia="Times New Roman"/>
          <w:b w:val="0"/>
          <w:i w:val="0"/>
          <w:sz w:val="22"/>
        </w:rPr>
        <w:t>19. Dexter J. P., Chaudhuri P., Burns P. J., et al. A database of intertexts in Valerius Flaccus' Argonautica 1: a benchmarking resource for the evaluation of computational intertextual search of Latin corpora // Journal of Open Humanities Data. 2024. Vol. 10, art. 14. DOI: 10.5334/johd.153.</w:t>
      </w:r>
    </w:p>
    <w:p>
      <w:pPr>
        <w:keepNext w:val="0"/>
        <w:widowControl/>
        <w:spacing w:line="276" w:lineRule="auto" w:before="0" w:after="60"/>
        <w:ind w:left="567" w:hanging="567"/>
        <w:jc w:val="both"/>
      </w:pPr>
      <w:r>
        <w:rPr>
          <w:rFonts w:ascii="Times New Roman" w:hAnsi="Times New Roman" w:eastAsia="Times New Roman"/>
          <w:b w:val="0"/>
          <w:i w:val="0"/>
          <w:sz w:val="22"/>
        </w:rPr>
        <w:t>20. Duan S. Quantitative intertextuality from the digital humanities perspective: a survey // arXiv preprint. 2025. arXiv:2510.27045.</w:t>
      </w:r>
    </w:p>
    <w:p>
      <w:pPr>
        <w:keepNext w:val="0"/>
        <w:widowControl/>
        <w:spacing w:line="276" w:lineRule="auto" w:before="0" w:after="60"/>
        <w:ind w:left="567" w:hanging="567"/>
        <w:jc w:val="both"/>
      </w:pPr>
      <w:r>
        <w:rPr>
          <w:rFonts w:ascii="Times New Roman" w:hAnsi="Times New Roman" w:eastAsia="Times New Roman"/>
          <w:b w:val="0"/>
          <w:i w:val="0"/>
          <w:sz w:val="22"/>
        </w:rPr>
        <w:t>21. Efron B. Bootstrap methods: another look at the jackknife // The Annals of Statistics. 1979. Vol. 7, no. 1. P. 1-26.</w:t>
      </w:r>
    </w:p>
    <w:p>
      <w:pPr>
        <w:keepNext w:val="0"/>
        <w:widowControl/>
        <w:spacing w:line="276" w:lineRule="auto" w:before="0" w:after="60"/>
        <w:ind w:left="567" w:hanging="567"/>
        <w:jc w:val="both"/>
      </w:pPr>
      <w:r>
        <w:rPr>
          <w:rFonts w:ascii="Times New Roman" w:hAnsi="Times New Roman" w:eastAsia="Times New Roman"/>
          <w:b w:val="0"/>
          <w:i w:val="0"/>
          <w:sz w:val="22"/>
        </w:rPr>
        <w:t>22. Forstall C. W., Scheirer W. J. Quantitative intertextuality: analyzing the markers of information reuse. Cham: Springer, 2019. DOI: 10.1007/978-3-030-23415-7.</w:t>
      </w:r>
    </w:p>
    <w:p>
      <w:pPr>
        <w:keepNext w:val="0"/>
        <w:widowControl/>
        <w:spacing w:line="276" w:lineRule="auto" w:before="0" w:after="60"/>
        <w:ind w:left="567" w:hanging="567"/>
        <w:jc w:val="both"/>
      </w:pPr>
      <w:r>
        <w:rPr>
          <w:rFonts w:ascii="Times New Roman" w:hAnsi="Times New Roman" w:eastAsia="Times New Roman"/>
          <w:b w:val="0"/>
          <w:i w:val="0"/>
          <w:sz w:val="22"/>
        </w:rPr>
        <w:t>23. Genette G. Palimpsestes: la littérature au second degré. Paris: Éditions du Seuil, 1982. 480 p.</w:t>
      </w:r>
    </w:p>
    <w:p>
      <w:pPr>
        <w:keepNext w:val="0"/>
        <w:widowControl/>
        <w:spacing w:line="276" w:lineRule="auto" w:before="0" w:after="60"/>
        <w:ind w:left="567" w:hanging="567"/>
        <w:jc w:val="both"/>
      </w:pPr>
      <w:r>
        <w:rPr>
          <w:rFonts w:ascii="Times New Roman" w:hAnsi="Times New Roman" w:eastAsia="Times New Roman"/>
          <w:b w:val="0"/>
          <w:i w:val="0"/>
          <w:sz w:val="22"/>
        </w:rPr>
        <w:t>24. Holm S. A simple sequentially rejective multiple test procedure // Scandinavian Journal of Statistics. 1979. Vol. 6, no. 2. P. 65-70.</w:t>
      </w:r>
    </w:p>
    <w:p>
      <w:pPr>
        <w:keepNext w:val="0"/>
        <w:widowControl/>
        <w:spacing w:line="276" w:lineRule="auto" w:before="0" w:after="60"/>
        <w:ind w:left="567" w:hanging="567"/>
        <w:jc w:val="both"/>
      </w:pPr>
      <w:r>
        <w:rPr>
          <w:rFonts w:ascii="Times New Roman" w:hAnsi="Times New Roman" w:eastAsia="Times New Roman"/>
          <w:b w:val="0"/>
          <w:i w:val="0"/>
          <w:sz w:val="22"/>
        </w:rPr>
        <w:t>25. Kapoor S., Narayanan A. Leakage and the reproducibility crisis in machine-learning-based science // Patterns. 2023. Vol. 4, no. 9.</w:t>
      </w:r>
    </w:p>
    <w:p>
      <w:pPr>
        <w:keepNext w:val="0"/>
        <w:widowControl/>
        <w:spacing w:line="276" w:lineRule="auto" w:before="0" w:after="60"/>
        <w:ind w:left="567" w:hanging="567"/>
        <w:jc w:val="both"/>
      </w:pPr>
      <w:r>
        <w:rPr>
          <w:rFonts w:ascii="Times New Roman" w:hAnsi="Times New Roman" w:eastAsia="Times New Roman"/>
          <w:b w:val="0"/>
          <w:i w:val="0"/>
          <w:sz w:val="22"/>
        </w:rPr>
        <w:t>26. Kristeva J. Bakhtine, le mot, le dialogue et le roman // Critique. 1967. No. 239. P. 438-465.</w:t>
      </w:r>
    </w:p>
    <w:p>
      <w:pPr>
        <w:keepNext w:val="0"/>
        <w:widowControl/>
        <w:spacing w:line="276" w:lineRule="auto" w:before="0" w:after="60"/>
        <w:ind w:left="567" w:hanging="567"/>
        <w:jc w:val="both"/>
      </w:pPr>
      <w:r>
        <w:rPr>
          <w:rFonts w:ascii="Times New Roman" w:hAnsi="Times New Roman" w:eastAsia="Times New Roman"/>
          <w:b w:val="0"/>
          <w:i w:val="0"/>
          <w:sz w:val="22"/>
        </w:rPr>
        <w:t>27. Manjavacas E., Long B., Kestemont M. On the feasibility of automated detection of allusive text reuse // Proceedings of the 3rd Joint SIGHUM Workshop on Computational Linguistics for Cultural Heritage, Social Sciences, Humanities and Literature. Minneapolis: Association for Computational Linguistics, 2019. P. 104-114.</w:t>
      </w:r>
    </w:p>
    <w:p>
      <w:pPr>
        <w:keepNext w:val="0"/>
        <w:widowControl/>
        <w:spacing w:line="276" w:lineRule="auto" w:before="0" w:after="60"/>
        <w:ind w:left="567" w:hanging="567"/>
        <w:jc w:val="both"/>
      </w:pPr>
      <w:r>
        <w:rPr>
          <w:rFonts w:ascii="Times New Roman" w:hAnsi="Times New Roman" w:eastAsia="Times New Roman"/>
          <w:b w:val="0"/>
          <w:i w:val="0"/>
          <w:sz w:val="22"/>
        </w:rPr>
        <w:t>28. Moritz M., Wiederhold A., Pavlek B., Bizzoni Y., Büchler M. Non-literal text reuse in historical texts: an approach to identify reuse transformations and its application to Bible reuse // Proceedings of the 2016 Conference on Empirical Methods in Natural Language Processing. Austin: Association for Computational Linguistics, 2016. P. 1849-1859.</w:t>
      </w:r>
    </w:p>
    <w:p>
      <w:pPr>
        <w:keepNext w:val="0"/>
        <w:widowControl/>
        <w:spacing w:line="276" w:lineRule="auto" w:before="0" w:after="60"/>
        <w:ind w:left="567" w:hanging="567"/>
        <w:jc w:val="both"/>
      </w:pPr>
      <w:r>
        <w:rPr>
          <w:rFonts w:ascii="Times New Roman" w:hAnsi="Times New Roman" w:eastAsia="Times New Roman"/>
          <w:b w:val="0"/>
          <w:i w:val="0"/>
          <w:sz w:val="22"/>
        </w:rPr>
        <w:t>29. Nosek B. A., Ebersole C. R., DeHaven A. C., Mellor D. T. The preregistration revolution // Proceedings of the National Academy of Sciences of the USA. 2018. Vol. 115, no. 11. P. 2600-2606.</w:t>
      </w:r>
    </w:p>
    <w:p>
      <w:pPr>
        <w:keepNext w:val="0"/>
        <w:widowControl/>
        <w:spacing w:line="276" w:lineRule="auto" w:before="0" w:after="60"/>
        <w:ind w:left="567" w:hanging="567"/>
        <w:jc w:val="both"/>
      </w:pPr>
      <w:r>
        <w:rPr>
          <w:rFonts w:ascii="Times New Roman" w:hAnsi="Times New Roman" w:eastAsia="Times New Roman"/>
          <w:b w:val="0"/>
          <w:i w:val="0"/>
          <w:sz w:val="22"/>
        </w:rPr>
        <w:t>30. Radovanović M., Nanopoulos A., Ivanović M. Hubs in space: popular nearest neighbors in high-dimensional data // Journal of Machine Learning Research. 2010. Vol. 11. P. 2487-2531.</w:t>
      </w:r>
    </w:p>
    <w:p>
      <w:pPr>
        <w:keepNext w:val="0"/>
        <w:widowControl/>
        <w:spacing w:line="276" w:lineRule="auto" w:before="0" w:after="60"/>
        <w:ind w:left="567" w:hanging="567"/>
        <w:jc w:val="both"/>
      </w:pPr>
      <w:r>
        <w:rPr>
          <w:rFonts w:ascii="Times New Roman" w:hAnsi="Times New Roman" w:eastAsia="Times New Roman"/>
          <w:b w:val="0"/>
          <w:i w:val="0"/>
          <w:sz w:val="22"/>
        </w:rPr>
        <w:t>31. Riffaterre M. Semiotics of poetry. Bloomington: Indiana University Press, 1978. 213 p.</w:t>
      </w:r>
    </w:p>
    <w:p>
      <w:pPr>
        <w:keepNext w:val="0"/>
        <w:widowControl/>
        <w:spacing w:line="276" w:lineRule="auto" w:before="0" w:after="60"/>
        <w:ind w:left="567" w:hanging="567"/>
        <w:jc w:val="both"/>
      </w:pPr>
      <w:r>
        <w:rPr>
          <w:rFonts w:ascii="Times New Roman" w:hAnsi="Times New Roman" w:eastAsia="Times New Roman"/>
          <w:b w:val="0"/>
          <w:i w:val="0"/>
          <w:sz w:val="22"/>
        </w:rPr>
        <w:t>32. Robertson S., Zaragoza H. The probabilistic relevance framework: BM25 and beyond // Foundations and Trends in Information Retrieval. 2009. Vol. 3, no. 4. P. 333-389.</w:t>
      </w:r>
    </w:p>
    <w:p>
      <w:pPr>
        <w:keepNext w:val="0"/>
        <w:widowControl/>
        <w:spacing w:line="276" w:lineRule="auto" w:before="0" w:after="60"/>
        <w:ind w:left="567" w:hanging="567"/>
        <w:jc w:val="both"/>
      </w:pPr>
      <w:r>
        <w:rPr>
          <w:rFonts w:ascii="Times New Roman" w:hAnsi="Times New Roman" w:eastAsia="Times New Roman"/>
          <w:b w:val="0"/>
          <w:i w:val="0"/>
          <w:sz w:val="22"/>
        </w:rPr>
        <w:t>33. Sainz O., Campos J., García-Ferrero I., Etxaniz J., Lopez de Lacalle O., Agirre E. NLP evaluation in trouble: on the need to measure LLM data contamination for each benchmark // Findings of the Association for Computational Linguistics: EMNLP 2023. Singapore: Association for Computational Linguistics, 2023. P. 10776-10787.</w:t>
      </w:r>
    </w:p>
    <w:p>
      <w:pPr>
        <w:keepNext w:val="0"/>
        <w:widowControl/>
        <w:spacing w:line="276" w:lineRule="auto" w:before="0" w:after="60"/>
        <w:ind w:left="567" w:hanging="567"/>
        <w:jc w:val="both"/>
      </w:pPr>
      <w:r>
        <w:rPr>
          <w:rFonts w:ascii="Times New Roman" w:hAnsi="Times New Roman" w:eastAsia="Times New Roman"/>
          <w:b w:val="0"/>
          <w:i w:val="0"/>
          <w:sz w:val="22"/>
        </w:rPr>
        <w:t>34. Smith D. A., Cordell R., Mullen A. Computational methods for uncovering reprinted texts in antebellum newspapers // American Literary History. 2015. Vol. 27, no. 3. P. E1-E15. DOI: 10.1093/alh/ajv029.</w:t>
      </w:r>
    </w:p>
    <w:p>
      <w:pPr>
        <w:keepNext w:val="0"/>
        <w:widowControl/>
        <w:spacing w:line="276" w:lineRule="auto" w:before="0" w:after="60"/>
        <w:ind w:left="567" w:hanging="567"/>
        <w:jc w:val="both"/>
      </w:pPr>
      <w:r>
        <w:rPr>
          <w:rFonts w:ascii="Times New Roman" w:hAnsi="Times New Roman" w:eastAsia="Times New Roman"/>
          <w:b w:val="0"/>
          <w:i w:val="0"/>
          <w:sz w:val="22"/>
        </w:rPr>
        <w:t>35. Wilson E. B. Probable inference, the law of succession, and statistical inference // Journal of the American Statistical Association. 1927. Vol. 22, no. 158. P. 209-212.</w:t>
      </w:r>
    </w:p>
    <w:p>
      <w:pPr>
        <w:keepNext w:val="0"/>
        <w:widowControl/>
        <w:spacing w:line="276" w:lineRule="auto" w:before="0" w:after="60"/>
        <w:ind w:left="567" w:hanging="567"/>
        <w:jc w:val="both"/>
      </w:pPr>
      <w:r>
        <w:rPr>
          <w:rFonts w:ascii="Times New Roman" w:hAnsi="Times New Roman" w:eastAsia="Times New Roman"/>
          <w:b w:val="0"/>
          <w:i w:val="0"/>
          <w:sz w:val="22"/>
        </w:rPr>
        <w:t>36. Intertext: калиброванное обнаружение текстовых заимствований. Протокол калибровки поиска интертекстуальных связей, версия 0.2 [Электронный ресурс]: репозиторий проекта. Файлы PROTOCOL.md, README.md, reports/ext/REPORT.md.</w:t>
      </w:r>
    </w:p>
    <w:p>
      <w:pPr>
        <w:keepNext/>
        <w:widowControl/>
        <w:spacing w:line="360" w:lineRule="auto" w:before="120" w:after="60"/>
        <w:jc w:val="center"/>
      </w:pPr>
      <w:r>
        <w:rPr>
          <w:rFonts w:ascii="Times New Roman" w:hAnsi="Times New Roman" w:eastAsia="Times New Roman"/>
          <w:b/>
          <w:i w:val="0"/>
          <w:sz w:val="24"/>
        </w:rPr>
        <w:t>Сведения об авторе</w:t>
      </w:r>
    </w:p>
    <w:p>
      <w:pPr>
        <w:keepNext w:val="0"/>
        <w:widowControl/>
        <w:spacing w:line="360" w:lineRule="auto" w:before="0" w:after="0"/>
        <w:jc w:val="both"/>
      </w:pPr>
      <w:r>
        <w:rPr>
          <w:rFonts w:ascii="Times New Roman" w:hAnsi="Times New Roman" w:eastAsia="Times New Roman"/>
          <w:b w:val="0"/>
          <w:i w:val="0"/>
          <w:sz w:val="24"/>
        </w:rPr>
        <w:t>[Фамилия Имя Отчество полностью, учёная степень и звание при наличии, должность, организация, город, страна, адрес электронной почты, ORCID].</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Методология обнаружения интертекстуальных связей</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