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integração das </w:t>
      </w:r>
      <w:r w:rsidDel="00000000" w:rsidR="00000000" w:rsidRPr="00000000">
        <w:rPr>
          <w:b w:val="1"/>
          <w:bCs w:val="1"/>
          <w:rtl w:val="0"/>
        </w:rPr>
        <w:t xml:space="preserve">Fichas de Orientação MEI</w:t>
      </w:r>
      <w:r w:rsidDel="00000000" w:rsidR="00000000" w:rsidRPr="00000000">
        <w:rPr>
          <w:rtl w:val="0"/>
        </w:rPr>
        <w:t xml:space="preserve"> no seu software deve funcionar como um "caminho simplificado" (fast-track), desviando o usuário do fluxo complexo de inventário de riscos tradicional. A NR-01 estabelece que a Secretaria Especial de Previdência e Trabalho (SEPRT) expede essas fichas com orientações sobre medidas de prevenção específicas para MEIs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operacionalizar isso no sistema, você deve seguir a seguinte arquitetura lógica: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8slrkyyyzjv" w:id="0"/>
      <w:bookmarkEnd w:id="0"/>
      <w:r w:rsidDel="00000000" w:rsidR="00000000" w:rsidRPr="00000000">
        <w:rPr>
          <w:rtl w:val="0"/>
        </w:rPr>
        <w:t xml:space="preserve">1. Triagem Automática via CNAE (Backend)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deve possuir um banco de dados interno que mapeie os códigos </w:t>
      </w:r>
      <w:r w:rsidDel="00000000" w:rsidR="00000000" w:rsidRPr="00000000">
        <w:rPr>
          <w:b w:val="1"/>
          <w:bCs w:val="1"/>
          <w:rtl w:val="0"/>
        </w:rPr>
        <w:t xml:space="preserve">CNAE</w:t>
      </w:r>
      <w:r w:rsidDel="00000000" w:rsidR="00000000" w:rsidRPr="00000000">
        <w:rPr>
          <w:rtl w:val="0"/>
        </w:rPr>
        <w:t xml:space="preserve"> (Classificação Nacional de Atividades Econômicas) para as respectivas </w:t>
      </w:r>
      <w:r w:rsidDel="00000000" w:rsidR="00000000" w:rsidRPr="00000000">
        <w:rPr>
          <w:b w:val="1"/>
          <w:bCs w:val="1"/>
          <w:rtl w:val="0"/>
        </w:rPr>
        <w:t xml:space="preserve">Fichas de Orientação</w:t>
      </w:r>
      <w:r w:rsidDel="00000000" w:rsidR="00000000" w:rsidRPr="00000000">
        <w:rPr>
          <w:rtl w:val="0"/>
        </w:rPr>
        <w:t xml:space="preserve"> disponibilizadas pelo governo.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tl w:val="0"/>
        </w:rPr>
        <w:t xml:space="preserve"> No momento do cadastro, ao identificar a natureza jurídica "Microempreendedor Individual" (MEI), o sistema lê o CNAE principal.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Em vez de abrir a tela de "Levantamento de Perigos e Riscos", o sistema consulta o banco de dados e apresenta automaticamente a Ficha de Orientação correspondente àquela atividade 1, 4, 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iaubpefu5xn" w:id="1"/>
      <w:bookmarkEnd w:id="1"/>
      <w:r w:rsidDel="00000000" w:rsidR="00000000" w:rsidRPr="00000000">
        <w:rPr>
          <w:rtl w:val="0"/>
        </w:rPr>
        <w:t xml:space="preserve">2. Interface de Adesão Simplificada (Frontend)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o usuário MEI, a experiência deve ser de "adesão" e não de "elaboração".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Visualização:</w:t>
      </w:r>
      <w:r w:rsidDel="00000000" w:rsidR="00000000" w:rsidRPr="00000000">
        <w:rPr>
          <w:rtl w:val="0"/>
        </w:rPr>
        <w:t xml:space="preserve"> O sistema exibe as medidas de prevenção padrão listadas na ficha oficial (ex: uso de EPI específico, cuidados com eletricidade).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Confirmação:</w:t>
      </w:r>
      <w:r w:rsidDel="00000000" w:rsidR="00000000" w:rsidRPr="00000000">
        <w:rPr>
          <w:rtl w:val="0"/>
        </w:rPr>
        <w:t xml:space="preserve"> O usuário deve dar um "de acordo" digital, confirmando que seguirá aquelas orientações. O software não deve pedir para ele calcular matriz de risco ou medir ruído, pois o objetivo das fichas é justamente simplificar essa etapa 3.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O sistema gera um documento PDF intitulado "Ficha de Orientação - Medidas de Prevenção", que o MEI pode imprimir ou arquivar digitalmente para apresentar à fiscalização ou contratantes.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jwq0dajziu1n" w:id="2"/>
      <w:bookmarkEnd w:id="2"/>
      <w:r w:rsidDel="00000000" w:rsidR="00000000" w:rsidRPr="00000000">
        <w:rPr>
          <w:rtl w:val="0"/>
        </w:rPr>
        <w:t xml:space="preserve">3. Regra de Exceção: MEI Prestador de Serviço (Trava de Segurança)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Seu sistema deve ter uma regra de negócio crítica para quando o MEI é contratado por outra empresa.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A dispensa de PGR do MEI </w:t>
      </w:r>
      <w:r w:rsidDel="00000000" w:rsidR="00000000" w:rsidRPr="00000000">
        <w:rPr>
          <w:b w:val="1"/>
          <w:bCs w:val="1"/>
          <w:rtl w:val="0"/>
        </w:rPr>
        <w:t xml:space="preserve">não alcança a organização contratante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Se o seu cliente for uma empresa maior (Contratante) cadastrando um MEI (Terceiro), o software </w:t>
      </w:r>
      <w:r w:rsidDel="00000000" w:rsidR="00000000" w:rsidRPr="00000000">
        <w:rPr>
          <w:b w:val="1"/>
          <w:bCs w:val="1"/>
          <w:rtl w:val="0"/>
        </w:rPr>
        <w:t xml:space="preserve">não deve</w:t>
      </w:r>
      <w:r w:rsidDel="00000000" w:rsidR="00000000" w:rsidRPr="00000000">
        <w:rPr>
          <w:rtl w:val="0"/>
        </w:rPr>
        <w:t xml:space="preserve"> aplicar a dispensa. Nesse cenário, o sistema deve obrigar a contratante a incluir o MEI no seu próprio PGR e Inventário de Riscos, tratando-o como um trabalhador exposto aos riscos do ambiente da contratante 1, 2.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rzk3ayrdwdx" w:id="3"/>
      <w:bookmarkEnd w:id="3"/>
      <w:r w:rsidDel="00000000" w:rsidR="00000000" w:rsidRPr="00000000">
        <w:rPr>
          <w:rtl w:val="0"/>
        </w:rPr>
        <w:t xml:space="preserve">4. Integração com o ASO (Saúde Ocupacional)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Mesmo utilizando as Fichas de Orientação, o sistema deve verificar a necessidade de exames médicos.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Alerta:</w:t>
      </w:r>
      <w:r w:rsidDel="00000000" w:rsidR="00000000" w:rsidRPr="00000000">
        <w:rPr>
          <w:rtl w:val="0"/>
        </w:rPr>
        <w:t xml:space="preserve"> O sistema deve informar que seguir a Ficha de Orientação (dispensa do PGR) não isenta automaticamente da realização de exames médicos (PCMSO), a menos que não existam riscos físicos, químicos, biológicos </w:t>
      </w:r>
      <w:r w:rsidDel="00000000" w:rsidR="00000000" w:rsidRPr="00000000">
        <w:rPr>
          <w:b w:val="1"/>
          <w:bCs w:val="1"/>
          <w:rtl w:val="0"/>
        </w:rPr>
        <w:t xml:space="preserve">e ergonômicos</w:t>
      </w:r>
      <w:r w:rsidDel="00000000" w:rsidR="00000000" w:rsidRPr="00000000">
        <w:rPr>
          <w:rtl w:val="0"/>
        </w:rPr>
        <w:t xml:space="preserve"> 5-7.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O software deve permitir a geração de uma guia de encaminhamento para o ASO (Atestado de Saúde Ocupacional) baseada nos riscos genéricos da atividade listados na Ficha de Orientação.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para o Desenvolvedor: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CNPJ/CNAE do MEI.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É MEI "puro" ou Terceirizado?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Terceirizado:</w:t>
      </w:r>
      <w:r w:rsidDel="00000000" w:rsidR="00000000" w:rsidRPr="00000000">
        <w:rPr>
          <w:rtl w:val="0"/>
        </w:rPr>
        <w:t xml:space="preserve"> Incluir no PGR da Contratante (Fluxo Normal).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Puro:</w:t>
      </w:r>
      <w:r w:rsidDel="00000000" w:rsidR="00000000" w:rsidRPr="00000000">
        <w:rPr>
          <w:rtl w:val="0"/>
        </w:rPr>
        <w:t xml:space="preserve"> Ativar Fluxo MEI.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  <w:r w:rsidDel="00000000" w:rsidR="00000000" w:rsidRPr="00000000">
        <w:rPr>
          <w:rtl w:val="0"/>
        </w:rPr>
        <w:t xml:space="preserve"> Buscar Ficha de Orientação no DB baseada no CNAE.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Gerar documento da Ficha com as medidas preventivas predefinidas + Guia para ASO (se aplicável).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