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que o seu sistema esteja em conformidade com 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e facilite a vida do usuário, ele deve tratar a isenção de PGR para Microempreendedores Individuais (MEIs) aplicando uma lógica de negócio específica que diferencia a "dispensa de documento" da "dispensa de prevenção".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Baseado nas normas vigentes, aqui está como o sistema deve operar: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hnmoz6y1mcm" w:id="0"/>
      <w:bookmarkEnd w:id="0"/>
      <w:r w:rsidDel="00000000" w:rsidR="00000000" w:rsidRPr="00000000">
        <w:rPr>
          <w:rtl w:val="0"/>
        </w:rPr>
        <w:t xml:space="preserve">1. Reconhecimento Automático e Dispensa do Documento Formal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identificar o CNPJ ou a natureza jurídica na etapa de cadastro. Ao detectar que se trata de um </w:t>
      </w:r>
      <w:r w:rsidDel="00000000" w:rsidR="00000000" w:rsidRPr="00000000">
        <w:rPr>
          <w:b w:val="1"/>
          <w:bCs w:val="1"/>
          <w:rtl w:val="0"/>
        </w:rPr>
        <w:t xml:space="preserve">MEI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de Bloqueio/Aviso:</w:t>
      </w:r>
      <w:r w:rsidDel="00000000" w:rsidR="00000000" w:rsidRPr="00000000">
        <w:rPr>
          <w:rtl w:val="0"/>
        </w:rPr>
        <w:t xml:space="preserve"> O sistema deve informar que o MEI está </w:t>
      </w:r>
      <w:r w:rsidDel="00000000" w:rsidR="00000000" w:rsidRPr="00000000">
        <w:rPr>
          <w:b w:val="1"/>
          <w:bCs w:val="1"/>
          <w:rtl w:val="0"/>
        </w:rPr>
        <w:t xml:space="preserve">dispensado de elaborar o PGR</w:t>
      </w:r>
      <w:r w:rsidDel="00000000" w:rsidR="00000000" w:rsidRPr="00000000">
        <w:rPr>
          <w:rtl w:val="0"/>
        </w:rPr>
        <w:t xml:space="preserve"> formal 1, 2.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Alternativa (Fichas MEI):</w:t>
      </w:r>
      <w:r w:rsidDel="00000000" w:rsidR="00000000" w:rsidRPr="00000000">
        <w:rPr>
          <w:rtl w:val="0"/>
        </w:rPr>
        <w:t xml:space="preserve"> Em vez de abrir o fluxo complexo de elaboração do inventário de riscos completo, o sistema deve direcionar o usuário para as </w:t>
      </w:r>
      <w:r w:rsidDel="00000000" w:rsidR="00000000" w:rsidRPr="00000000">
        <w:rPr>
          <w:b w:val="1"/>
          <w:bCs w:val="1"/>
          <w:rtl w:val="0"/>
        </w:rPr>
        <w:t xml:space="preserve">Fichas de Orientação</w:t>
      </w:r>
      <w:r w:rsidDel="00000000" w:rsidR="00000000" w:rsidRPr="00000000">
        <w:rPr>
          <w:rtl w:val="0"/>
        </w:rPr>
        <w:t xml:space="preserve"> expedidas pela Secretaria Especial de Previdência e Trabalho (SEPRT/MTE). O software pode, inclusive, já ter essas fichas digitalizadas ou linkadas, permitindo que o MEI selecione sua atividade e imprima as medidas de prevenção pertinentes 3-5.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oyrqzmuvlm3" w:id="1"/>
      <w:bookmarkEnd w:id="1"/>
      <w:r w:rsidDel="00000000" w:rsidR="00000000" w:rsidRPr="00000000">
        <w:rPr>
          <w:rtl w:val="0"/>
        </w:rPr>
        <w:t xml:space="preserve">2. Tratamento em Caso de Contratação (Terceiros)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sistema deve ter um módulo para "Empresas Contratantes". Se o seu cliente for uma empresa maior que contrata um MEI para prestar serviços em suas dependências: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Inclusão Obrigatória:</w:t>
      </w:r>
      <w:r w:rsidDel="00000000" w:rsidR="00000000" w:rsidRPr="00000000">
        <w:rPr>
          <w:rtl w:val="0"/>
        </w:rPr>
        <w:t xml:space="preserve"> O sistema </w:t>
      </w:r>
      <w:r w:rsidDel="00000000" w:rsidR="00000000" w:rsidRPr="00000000">
        <w:rPr>
          <w:b w:val="1"/>
          <w:bCs w:val="1"/>
          <w:rtl w:val="0"/>
        </w:rPr>
        <w:t xml:space="preserve">não pode</w:t>
      </w:r>
      <w:r w:rsidDel="00000000" w:rsidR="00000000" w:rsidRPr="00000000">
        <w:rPr>
          <w:rtl w:val="0"/>
        </w:rPr>
        <w:t xml:space="preserve"> excluir o MEI do PGR da contratante. A norma estabelece que a dispensa de PGR do MEI não alcança a organização contratante.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O software deve permitir que a empresa contratante cadastre o MEI como um prestador de serviço e inclua as atividades dele no seu próprio Inventário de Riscos e Plano de Ação 3, 4.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7b05uvp1bez" w:id="2"/>
      <w:bookmarkEnd w:id="2"/>
      <w:r w:rsidDel="00000000" w:rsidR="00000000" w:rsidRPr="00000000">
        <w:rPr>
          <w:rtl w:val="0"/>
        </w:rPr>
        <w:t xml:space="preserve">3. Integração com a Isenção do PCMSO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sistema deve realizar uma verificação cruzada (cross-check) para determinar se o MEI também está isento do PCMSO, pois a isenção do PGR não garante automaticamente a isenção do PCMSO.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Lógica de Verificação:</w:t>
      </w:r>
      <w:r w:rsidDel="00000000" w:rsidR="00000000" w:rsidRPr="00000000">
        <w:rPr>
          <w:rtl w:val="0"/>
        </w:rPr>
        <w:t xml:space="preserve"> O sistema deve questionar o MEI sobre a existência de riscos. O MEI só fica dispensado do PCMSO se declarar as informações digitais e </w:t>
      </w:r>
      <w:r w:rsidDel="00000000" w:rsidR="00000000" w:rsidRPr="00000000">
        <w:rPr>
          <w:b w:val="1"/>
          <w:bCs w:val="1"/>
          <w:rtl w:val="0"/>
        </w:rPr>
        <w:t xml:space="preserve">não identificar exposições</w:t>
      </w:r>
      <w:r w:rsidDel="00000000" w:rsidR="00000000" w:rsidRPr="00000000">
        <w:rPr>
          <w:rtl w:val="0"/>
        </w:rPr>
        <w:t xml:space="preserve"> a: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Agentes físicos, químicos e biológicos;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Riscos relacionados a </w:t>
      </w:r>
      <w:r w:rsidDel="00000000" w:rsidR="00000000" w:rsidRPr="00000000">
        <w:rPr>
          <w:b w:val="1"/>
          <w:bCs w:val="1"/>
          <w:rtl w:val="0"/>
        </w:rPr>
        <w:t xml:space="preserve">fatores ergonômicos</w:t>
      </w:r>
      <w:r w:rsidDel="00000000" w:rsidR="00000000" w:rsidRPr="00000000">
        <w:rPr>
          <w:rtl w:val="0"/>
        </w:rPr>
        <w:t xml:space="preserve"> 6, 7.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Emissão de ASO:</w:t>
      </w:r>
      <w:r w:rsidDel="00000000" w:rsidR="00000000" w:rsidRPr="00000000">
        <w:rPr>
          <w:rtl w:val="0"/>
        </w:rPr>
        <w:t xml:space="preserve"> Mesmo que o sistema dispense o PGR e o PCMSO, ele deve manter a funcionalidade para a emissão do </w:t>
      </w:r>
      <w:r w:rsidDel="00000000" w:rsidR="00000000" w:rsidRPr="00000000">
        <w:rPr>
          <w:b w:val="1"/>
          <w:bCs w:val="1"/>
          <w:rtl w:val="0"/>
        </w:rPr>
        <w:t xml:space="preserve">ASO (Atestado de Saúde Ocupacional)</w:t>
      </w:r>
      <w:r w:rsidDel="00000000" w:rsidR="00000000" w:rsidRPr="00000000">
        <w:rPr>
          <w:rtl w:val="0"/>
        </w:rPr>
        <w:t xml:space="preserve"> avulso, pois a dispensa dos programas não desobriga a realização dos exames médicos admissional, demissional e periódicos 6, 7.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8teph6lkfxi" w:id="3"/>
      <w:bookmarkEnd w:id="3"/>
      <w:r w:rsidDel="00000000" w:rsidR="00000000" w:rsidRPr="00000000">
        <w:rPr>
          <w:rtl w:val="0"/>
        </w:rPr>
        <w:t xml:space="preserve">Resumo da Lógica do Sistema para MEI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 MEI?</w:t>
      </w:r>
      <w:r w:rsidDel="00000000" w:rsidR="00000000" w:rsidRPr="00000000">
        <w:rPr>
          <w:rtl w:val="0"/>
        </w:rPr>
        <w:t xml:space="preserve"> -&gt; Sim.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Bloquear criação de PGR complexo -&gt; Ofertar/Gerar "Fichas de Orientação MEI" 5.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de PCMSO:</w:t>
      </w:r>
      <w:r w:rsidDel="00000000" w:rsidR="00000000" w:rsidRPr="00000000">
        <w:rPr>
          <w:rtl w:val="0"/>
        </w:rPr>
        <w:t xml:space="preserve"> Há risco físico, químico, biológico ou </w:t>
      </w:r>
      <w:r w:rsidDel="00000000" w:rsidR="00000000" w:rsidRPr="00000000">
        <w:rPr>
          <w:b w:val="1"/>
          <w:bCs w:val="1"/>
          <w:rtl w:val="0"/>
        </w:rPr>
        <w:t xml:space="preserve">ergonômico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Sim:</w:t>
      </w:r>
      <w:r w:rsidDel="00000000" w:rsidR="00000000" w:rsidRPr="00000000">
        <w:rPr>
          <w:rtl w:val="0"/>
        </w:rPr>
        <w:t xml:space="preserve"> Exige elaboração de PCMSO.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Não:</w:t>
      </w:r>
      <w:r w:rsidDel="00000000" w:rsidR="00000000" w:rsidRPr="00000000">
        <w:rPr>
          <w:rtl w:val="0"/>
        </w:rPr>
        <w:t xml:space="preserve"> Dispensa PCMSO, mas exige ASO.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 Prestador de Serviço?</w:t>
      </w:r>
      <w:r w:rsidDel="00000000" w:rsidR="00000000" w:rsidRPr="00000000">
        <w:rPr>
          <w:rtl w:val="0"/>
        </w:rPr>
        <w:t xml:space="preserve"> -&gt; Se o MEI atua dentro da empresa contratante, os dados dele devem ser importados para o PGR da contratante 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