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 base estrita nas fontes fornecidas, </w:t>
      </w:r>
      <w:r w:rsidDel="00000000" w:rsidR="00000000" w:rsidRPr="00000000">
        <w:rPr>
          <w:b w:val="1"/>
          <w:bCs w:val="1"/>
          <w:rtl w:val="0"/>
        </w:rPr>
        <w:t xml:space="preserve">não existem links diretos para download (URLs) nem endpoints de API</w:t>
      </w:r>
      <w:r w:rsidDel="00000000" w:rsidR="00000000" w:rsidRPr="00000000">
        <w:rPr>
          <w:rtl w:val="0"/>
        </w:rPr>
        <w:t xml:space="preserve"> especificados no texto. As fontes descrevem </w:t>
      </w:r>
      <w:r w:rsidDel="00000000" w:rsidR="00000000" w:rsidRPr="00000000">
        <w:rPr>
          <w:i w:val="1"/>
          <w:iCs w:val="1"/>
          <w:rtl w:val="0"/>
        </w:rPr>
        <w:t xml:space="preserve">onde</w:t>
      </w:r>
      <w:r w:rsidDel="00000000" w:rsidR="00000000" w:rsidRPr="00000000">
        <w:rPr>
          <w:rtl w:val="0"/>
        </w:rPr>
        <w:t xml:space="preserve"> buscar (as autoridades competentes) e </w:t>
      </w:r>
      <w:r w:rsidDel="00000000" w:rsidR="00000000" w:rsidRPr="00000000">
        <w:rPr>
          <w:i w:val="1"/>
          <w:i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o sistema deve processar esses dados, mas não fornecem os arquivos brutos.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Aqui está o mapeamento de onde você deve buscar essas informações externamente, baseado nas referências citadas nos documentos: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k0fk7dptetmy" w:id="0"/>
      <w:bookmarkEnd w:id="0"/>
      <w:r w:rsidDel="00000000" w:rsidR="00000000" w:rsidRPr="00000000">
        <w:rPr>
          <w:rtl w:val="0"/>
        </w:rPr>
        <w:t xml:space="preserve">1. O "Dicionário" de Correlação Médica (Tabelas da NR-07)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As fontes indicam que o sistema deve separar exames baseados nos "Quadros 1 e 2 da NR-07" para alimentar o relatório analítico 1.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Onde extrair:</w:t>
      </w:r>
      <w:r w:rsidDel="00000000" w:rsidR="00000000" w:rsidRPr="00000000">
        <w:rPr>
          <w:rtl w:val="0"/>
        </w:rPr>
        <w:t xml:space="preserve"> Você não encontrará uma API governamental para isso. O conteúdo deve ser extraído manualmente do texto oficial da </w:t>
      </w:r>
      <w:r w:rsidDel="00000000" w:rsidR="00000000" w:rsidRPr="00000000">
        <w:rPr>
          <w:b w:val="1"/>
          <w:bCs w:val="1"/>
          <w:rtl w:val="0"/>
        </w:rPr>
        <w:t xml:space="preserve">Norma Regulamentadora nº 07 (NR-07)</w:t>
      </w:r>
      <w:r w:rsidDel="00000000" w:rsidR="00000000" w:rsidRPr="00000000">
        <w:rPr>
          <w:rtl w:val="0"/>
        </w:rPr>
        <w:t xml:space="preserve"> disponível no portal gov.br ou ENIT.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Copiar os Quadros 1 (Monitoração da Exposição) e 2 (Monitoração Biológica) da norma e transformá-los em tabelas SQL (tb_risco_exame).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fubcbd9ifmfk" w:id="1"/>
      <w:bookmarkEnd w:id="1"/>
      <w:r w:rsidDel="00000000" w:rsidR="00000000" w:rsidRPr="00000000">
        <w:rPr>
          <w:rtl w:val="0"/>
        </w:rPr>
        <w:t xml:space="preserve">2. O Conteúdo das Fichas MEI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 fontes afirmam que as fichas são disponibilizadas pela </w:t>
      </w:r>
      <w:r w:rsidDel="00000000" w:rsidR="00000000" w:rsidRPr="00000000">
        <w:rPr>
          <w:b w:val="1"/>
          <w:bCs w:val="1"/>
          <w:rtl w:val="0"/>
        </w:rPr>
        <w:t xml:space="preserve">ENIT/Gov.br</w:t>
      </w:r>
      <w:r w:rsidDel="00000000" w:rsidR="00000000" w:rsidRPr="00000000">
        <w:rPr>
          <w:rtl w:val="0"/>
        </w:rPr>
        <w:t xml:space="preserve"> (Escola Nacional da Inspeção do Trabalho) e expedidas pela </w:t>
      </w:r>
      <w:r w:rsidDel="00000000" w:rsidR="00000000" w:rsidRPr="00000000">
        <w:rPr>
          <w:b w:val="1"/>
          <w:bCs w:val="1"/>
          <w:rtl w:val="0"/>
        </w:rPr>
        <w:t xml:space="preserve">Secretaria Especial de Previdência e Trabalho (SEPRT)</w:t>
      </w:r>
      <w:r w:rsidDel="00000000" w:rsidR="00000000" w:rsidRPr="00000000">
        <w:rPr>
          <w:rtl w:val="0"/>
        </w:rPr>
        <w:t xml:space="preserve"> 2, 3.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Automação (API):</w:t>
      </w:r>
      <w:r w:rsidDel="00000000" w:rsidR="00000000" w:rsidRPr="00000000">
        <w:rPr>
          <w:rtl w:val="0"/>
        </w:rPr>
        <w:t xml:space="preserve"> As fontes mencionam o uso de API apenas para consultar o </w:t>
      </w:r>
      <w:r w:rsidDel="00000000" w:rsidR="00000000" w:rsidRPr="00000000">
        <w:rPr>
          <w:b w:val="1"/>
          <w:bCs w:val="1"/>
          <w:rtl w:val="0"/>
        </w:rPr>
        <w:t xml:space="preserve">CNAE</w:t>
      </w:r>
      <w:r w:rsidDel="00000000" w:rsidR="00000000" w:rsidRPr="00000000">
        <w:rPr>
          <w:rtl w:val="0"/>
        </w:rPr>
        <w:t xml:space="preserve"> na Receita Federal 4, 5.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Não há API de conteúdo. O texto das fichas (medidas de prevenção para "Pintor", "Pedreiro", etc.) deve ser baixado do site da ENIT e cadastrado no seu banco de dados para ser vinculado ao CNAE correspondente 2.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v4dsbnl8h7fq" w:id="2"/>
      <w:bookmarkEnd w:id="2"/>
      <w:r w:rsidDel="00000000" w:rsidR="00000000" w:rsidRPr="00000000">
        <w:rPr>
          <w:rtl w:val="0"/>
        </w:rPr>
        <w:t xml:space="preserve">3. As Tabelas Completas do eSocial (Tabela 24 e 27)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 sistema deve exportar dados estritamente no layout XML definido pelo governo 6.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Onde extrair:</w:t>
      </w:r>
      <w:r w:rsidDel="00000000" w:rsidR="00000000" w:rsidRPr="00000000">
        <w:rPr>
          <w:rtl w:val="0"/>
        </w:rPr>
        <w:t xml:space="preserve"> As fontes referem-se aos "Leiautes do eSocial" 6. Você deve buscar a seção de </w:t>
      </w:r>
      <w:r w:rsidDel="00000000" w:rsidR="00000000" w:rsidRPr="00000000">
        <w:rPr>
          <w:b w:val="1"/>
          <w:bCs w:val="1"/>
          <w:rtl w:val="0"/>
        </w:rPr>
        <w:t xml:space="preserve">Documentação Técnica</w:t>
      </w:r>
      <w:r w:rsidDel="00000000" w:rsidR="00000000" w:rsidRPr="00000000">
        <w:rPr>
          <w:rtl w:val="0"/>
        </w:rPr>
        <w:t xml:space="preserve"> no Portal do eSocial.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Arquivos:</w:t>
      </w:r>
      <w:r w:rsidDel="00000000" w:rsidR="00000000" w:rsidRPr="00000000">
        <w:rPr>
          <w:rtl w:val="0"/>
        </w:rPr>
        <w:t xml:space="preserve"> Procure pelo pacote "Leiautes do eSocial - Anexo I - Tabelas".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Tabela 24:</w:t>
      </w:r>
      <w:r w:rsidDel="00000000" w:rsidR="00000000" w:rsidRPr="00000000">
        <w:rPr>
          <w:rtl w:val="0"/>
        </w:rPr>
        <w:t xml:space="preserve"> Agentes Nocivos e Atividades (Aposentadoria Especial).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Tabela 27:</w:t>
      </w:r>
      <w:r w:rsidDel="00000000" w:rsidR="00000000" w:rsidRPr="00000000">
        <w:rPr>
          <w:rtl w:val="0"/>
        </w:rPr>
        <w:t xml:space="preserve"> Procedimentos Diagnósticos (Exames).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O governo não fornece API REST para </w:t>
      </w:r>
      <w:r w:rsidDel="00000000" w:rsidR="00000000" w:rsidRPr="00000000">
        <w:rPr>
          <w:i w:val="1"/>
          <w:iCs w:val="1"/>
          <w:rtl w:val="0"/>
        </w:rPr>
        <w:t xml:space="preserve">ler</w:t>
      </w:r>
      <w:r w:rsidDel="00000000" w:rsidR="00000000" w:rsidRPr="00000000">
        <w:rPr>
          <w:rtl w:val="0"/>
        </w:rPr>
        <w:t xml:space="preserve"> essas tabelas, apenas webservices (SOAP) para </w:t>
      </w:r>
      <w:r w:rsidDel="00000000" w:rsidR="00000000" w:rsidRPr="00000000">
        <w:rPr>
          <w:i w:val="1"/>
          <w:iCs w:val="1"/>
          <w:rtl w:val="0"/>
        </w:rPr>
        <w:t xml:space="preserve">receber</w:t>
      </w:r>
      <w:r w:rsidDel="00000000" w:rsidR="00000000" w:rsidRPr="00000000">
        <w:rPr>
          <w:rtl w:val="0"/>
        </w:rPr>
        <w:t xml:space="preserve"> os eventos (S-2240/S-2220) já preenchidos.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n4s611823ng" w:id="3"/>
      <w:bookmarkEnd w:id="3"/>
      <w:r w:rsidDel="00000000" w:rsidR="00000000" w:rsidRPr="00000000">
        <w:rPr>
          <w:rtl w:val="0"/>
        </w:rPr>
        <w:t xml:space="preserve">4. As Regras de Negócio para "Versionamento Fino"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As fontes </w:t>
      </w:r>
      <w:r w:rsidDel="00000000" w:rsidR="00000000" w:rsidRPr="00000000">
        <w:rPr>
          <w:b w:val="1"/>
          <w:bCs w:val="1"/>
          <w:rtl w:val="0"/>
        </w:rPr>
        <w:t xml:space="preserve">não fornecem</w:t>
      </w:r>
      <w:r w:rsidDel="00000000" w:rsidR="00000000" w:rsidRPr="00000000">
        <w:rPr>
          <w:rtl w:val="0"/>
        </w:rPr>
        <w:t xml:space="preserve"> uma regra de tolerância para "versionamento fino". Pelo contrário, elas sugerem um modelo rígido devido à certificação digital.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Regra Extraída:</w:t>
      </w:r>
      <w:r w:rsidDel="00000000" w:rsidR="00000000" w:rsidRPr="00000000">
        <w:rPr>
          <w:rtl w:val="0"/>
        </w:rPr>
        <w:t xml:space="preserve"> Qualquer alteração no conteúdo, por menor que seja (ex: mudar um grau de risco), invalida a assinatura digital e exige um novo documento 7.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Não implemente "versionamento fino" (editar o mesmo documento). Implemente "Versionamento Imutável": qualquer edição gera um novo arquivo (V1 $\rightarrow$ V2) e arquiva o anterior para manter o histórico de 20 anos 8.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hqf0dsuj044z" w:id="4"/>
      <w:bookmarkEnd w:id="4"/>
      <w:r w:rsidDel="00000000" w:rsidR="00000000" w:rsidRPr="00000000">
        <w:rPr>
          <w:rtl w:val="0"/>
        </w:rPr>
        <w:t xml:space="preserve">5. Matriz de Permissões (Privacidade)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As fontes não entregam uma matriz pronta, mas definem os </w:t>
      </w:r>
      <w:r w:rsidDel="00000000" w:rsidR="00000000" w:rsidRPr="00000000">
        <w:rPr>
          <w:b w:val="1"/>
          <w:bCs w:val="1"/>
          <w:rtl w:val="0"/>
        </w:rPr>
        <w:t xml:space="preserve">perfis de acesso</w:t>
      </w:r>
      <w:r w:rsidDel="00000000" w:rsidR="00000000" w:rsidRPr="00000000">
        <w:rPr>
          <w:rtl w:val="0"/>
        </w:rPr>
        <w:t xml:space="preserve"> necessários baseados nas responsabilidades e sigilo: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Médico Coordenador:</w:t>
      </w:r>
      <w:r w:rsidDel="00000000" w:rsidR="00000000" w:rsidRPr="00000000">
        <w:rPr>
          <w:rtl w:val="0"/>
        </w:rPr>
        <w:t xml:space="preserve"> Acesso total a dados clínicos, prontuários e responsável pela assinatura do PCMSO 9, 10.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Engenheiro/Técnico:</w:t>
      </w:r>
      <w:r w:rsidDel="00000000" w:rsidR="00000000" w:rsidRPr="00000000">
        <w:rPr>
          <w:rtl w:val="0"/>
        </w:rPr>
        <w:t xml:space="preserve"> Acesso a dados ambientais (PGR), responsável pela assinatura do Inventário de Riscos, mas </w:t>
      </w:r>
      <w:r w:rsidDel="00000000" w:rsidR="00000000" w:rsidRPr="00000000">
        <w:rPr>
          <w:b w:val="1"/>
          <w:bCs w:val="1"/>
          <w:rtl w:val="0"/>
        </w:rPr>
        <w:t xml:space="preserve">sem acesso</w:t>
      </w:r>
      <w:r w:rsidDel="00000000" w:rsidR="00000000" w:rsidRPr="00000000">
        <w:rPr>
          <w:rtl w:val="0"/>
        </w:rPr>
        <w:t xml:space="preserve"> aos detalhes clínicos (apenas Apto/Inapto no ASO) 10.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Empregador/RH:</w:t>
      </w:r>
      <w:r w:rsidDel="00000000" w:rsidR="00000000" w:rsidRPr="00000000">
        <w:rPr>
          <w:rtl w:val="0"/>
        </w:rPr>
        <w:t xml:space="preserve"> Acesso administrativo para "de acordo" e transmissão de eventos, sem acesso a dados médicos sensíveis 10.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Auditoria/Fiscal:</w:t>
      </w:r>
      <w:r w:rsidDel="00000000" w:rsidR="00000000" w:rsidRPr="00000000">
        <w:rPr>
          <w:rtl w:val="0"/>
        </w:rPr>
        <w:t xml:space="preserve"> Acesso de leitura ("visualizar, exportar") aos documentos finais assinados 11, 12.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l64it1diotm6" w:id="5"/>
      <w:bookmarkEnd w:id="5"/>
      <w:r w:rsidDel="00000000" w:rsidR="00000000" w:rsidRPr="00000000">
        <w:rPr>
          <w:rtl w:val="0"/>
        </w:rPr>
        <w:t xml:space="preserve">6. Estrutura do Plano de Atendimento a Emergências (PAE)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As fontes fornecidas focam no Inventário de Riscos e PCMSO. Sobre emergências, citam apenas a gestão de </w:t>
      </w:r>
      <w:r w:rsidDel="00000000" w:rsidR="00000000" w:rsidRPr="00000000">
        <w:rPr>
          <w:b w:val="1"/>
          <w:bCs w:val="1"/>
          <w:rtl w:val="0"/>
        </w:rPr>
        <w:t xml:space="preserve">Acidentes de Trabalho (CAT)</w:t>
      </w:r>
      <w:r w:rsidDel="00000000" w:rsidR="00000000" w:rsidRPr="00000000">
        <w:rPr>
          <w:rtl w:val="0"/>
        </w:rPr>
        <w:t xml:space="preserve"> 9, 13.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Onde extrair:</w:t>
      </w:r>
      <w:r w:rsidDel="00000000" w:rsidR="00000000" w:rsidRPr="00000000">
        <w:rPr>
          <w:rtl w:val="0"/>
        </w:rPr>
        <w:t xml:space="preserve"> Para obter a estrutura detalhada do PAE (cenários, respostas, recursos), você deve consultar diretamente o </w:t>
      </w:r>
      <w:r w:rsidDel="00000000" w:rsidR="00000000" w:rsidRPr="00000000">
        <w:rPr>
          <w:b w:val="1"/>
          <w:bCs w:val="1"/>
          <w:rtl w:val="0"/>
        </w:rPr>
        <w:t xml:space="preserve">item 1.5.6 da NR-01</w:t>
      </w:r>
      <w:r w:rsidDel="00000000" w:rsidR="00000000" w:rsidRPr="00000000">
        <w:rPr>
          <w:rtl w:val="0"/>
        </w:rPr>
        <w:t xml:space="preserve">, que não está detalhado nos excertos fornecidos.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exw1cmks7d7n" w:id="6"/>
      <w:bookmarkEnd w:id="6"/>
      <w:r w:rsidDel="00000000" w:rsidR="00000000" w:rsidRPr="00000000">
        <w:rPr>
          <w:rtl w:val="0"/>
        </w:rPr>
        <w:t xml:space="preserve">Resumo sobre APIs e Automação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 acordo com os textos 4, 5, a única "conexão automática" explícita sugerida é para a </w:t>
      </w:r>
      <w:r w:rsidDel="00000000" w:rsidR="00000000" w:rsidRPr="00000000">
        <w:rPr>
          <w:b w:val="1"/>
          <w:bCs w:val="1"/>
          <w:rtl w:val="0"/>
        </w:rPr>
        <w:t xml:space="preserve">consulta de CNPJ/CNAE</w:t>
      </w:r>
      <w:r w:rsidDel="00000000" w:rsidR="00000000" w:rsidRPr="00000000">
        <w:rPr>
          <w:rtl w:val="0"/>
        </w:rPr>
        <w:t xml:space="preserve"> (usando bases públicas como a da Receita Federal) para alimentar a triagem das Fichas MEI. Para os demais itens (conteúdo das normas e tabelas), o processo descrito é de importação para o banco de dados do sistema, e não de conexão em tempo real.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