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vincular os riscos do PGR aos exames médicos do PCMSO no seu sistema, você deve criar uma arquitetura de dados onde o </w:t>
      </w:r>
      <w:r w:rsidDel="00000000" w:rsidR="00000000" w:rsidRPr="00000000">
        <w:rPr>
          <w:b w:val="1"/>
          <w:bCs w:val="1"/>
          <w:rtl w:val="0"/>
        </w:rPr>
        <w:t xml:space="preserve">Inventário de Riscos</w:t>
      </w:r>
      <w:r w:rsidDel="00000000" w:rsidR="00000000" w:rsidRPr="00000000">
        <w:rPr>
          <w:rtl w:val="0"/>
        </w:rPr>
        <w:t xml:space="preserve"> atua como a "fonte da verdade" que dispara gatilhos automáticos para o módulo de saúde.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Baseado nas diretrizes de integração e conformidade digital das fontes, aqui está a lógica técnica para essa vinculação: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lqwsgjc9yx1" w:id="0"/>
      <w:bookmarkEnd w:id="0"/>
      <w:r w:rsidDel="00000000" w:rsidR="00000000" w:rsidRPr="00000000">
        <w:rPr>
          <w:rtl w:val="0"/>
        </w:rPr>
        <w:t xml:space="preserve">1. A Tabela de "Amarração" (Backend)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não pode depender de texto livre. Você precisa de um banco de dados relacional que cruze os fatores de risco com os exames exigidos pela legislação (NR-07 e eSocial).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Estrutura Relacional:</w:t>
      </w:r>
      <w:r w:rsidDel="00000000" w:rsidR="00000000" w:rsidRPr="00000000">
        <w:rPr>
          <w:rtl w:val="0"/>
        </w:rPr>
        <w:t xml:space="preserve"> Crie uma tabela intermediária (ex: tb_risco_exame_padrao) que mapeie: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 (Risco):</w:t>
      </w:r>
      <w:r w:rsidDel="00000000" w:rsidR="00000000" w:rsidRPr="00000000">
        <w:rPr>
          <w:rtl w:val="0"/>
        </w:rPr>
        <w:t xml:space="preserve"> O código do perigo da </w:t>
      </w:r>
      <w:r w:rsidDel="00000000" w:rsidR="00000000" w:rsidRPr="00000000">
        <w:rPr>
          <w:b w:val="1"/>
          <w:bCs w:val="1"/>
          <w:rtl w:val="0"/>
        </w:rPr>
        <w:t xml:space="preserve">Tabela 24</w:t>
      </w:r>
      <w:r w:rsidDel="00000000" w:rsidR="00000000" w:rsidRPr="00000000">
        <w:rPr>
          <w:rtl w:val="0"/>
        </w:rPr>
        <w:t xml:space="preserve"> do eSocial (ex: Ruído, Sílica, Calor) 1.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(Exame):</w:t>
      </w:r>
      <w:r w:rsidDel="00000000" w:rsidR="00000000" w:rsidRPr="00000000">
        <w:rPr>
          <w:rtl w:val="0"/>
        </w:rPr>
        <w:t xml:space="preserve"> O procedimento médico correspondente (ex: Audiometria, Raio-X de Tórax, Espirometria) 2, 3.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Critério de Gatilho:</w:t>
      </w:r>
      <w:r w:rsidDel="00000000" w:rsidR="00000000" w:rsidRPr="00000000">
        <w:rPr>
          <w:rtl w:val="0"/>
        </w:rPr>
        <w:t xml:space="preserve"> A regra que torna o exame obrigatório (ex: "Exposição acima do Nível de Ação" ou "Qualquer exposição") 4.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u7u75cff0tn" w:id="1"/>
      <w:bookmarkEnd w:id="1"/>
      <w:r w:rsidDel="00000000" w:rsidR="00000000" w:rsidRPr="00000000">
        <w:rPr>
          <w:rtl w:val="0"/>
        </w:rPr>
        <w:t xml:space="preserve">2. O Fluxo de Automação (Engine)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vinculação deve ocorrer automaticamente no momento em que o Engenheiro de Segurança finaliza a avaliação no PGR.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Detecção de Gatilho:</w:t>
      </w:r>
      <w:r w:rsidDel="00000000" w:rsidR="00000000" w:rsidRPr="00000000">
        <w:rPr>
          <w:rtl w:val="0"/>
        </w:rPr>
        <w:t xml:space="preserve"> Se o PGR registrar "Ruído" com intensidade acima do nível de ação (ex: &gt;80dB ou 50% da dose), o sistema consulta a tabela de amarração 3.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Geração de Pendência no PCMSO:</w:t>
      </w:r>
      <w:r w:rsidDel="00000000" w:rsidR="00000000" w:rsidRPr="00000000">
        <w:rPr>
          <w:rtl w:val="0"/>
        </w:rPr>
        <w:t xml:space="preserve"> O sistema insere automaticamente a "Audiometria" na grade de exames sugerida para aquele GHE (Grupo Homogêneo de Exposição) ou função.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Bloqueio de Inconsistência:</w:t>
      </w:r>
      <w:r w:rsidDel="00000000" w:rsidR="00000000" w:rsidRPr="00000000">
        <w:rPr>
          <w:rtl w:val="0"/>
        </w:rPr>
        <w:t xml:space="preserve"> O sistema deve alertar se o Médico tentar remover um exame que é obrigatório dado o risco apontado pelo Engenheiro. Isso evita a incoerência entre o evento </w:t>
      </w:r>
      <w:r w:rsidDel="00000000" w:rsidR="00000000" w:rsidRPr="00000000">
        <w:rPr>
          <w:b w:val="1"/>
          <w:bCs w:val="1"/>
          <w:rtl w:val="0"/>
        </w:rPr>
        <w:t xml:space="preserve">S-2240</w:t>
      </w:r>
      <w:r w:rsidDel="00000000" w:rsidR="00000000" w:rsidRPr="00000000">
        <w:rPr>
          <w:rtl w:val="0"/>
        </w:rPr>
        <w:t xml:space="preserve"> (Ambiente) e o </w:t>
      </w:r>
      <w:r w:rsidDel="00000000" w:rsidR="00000000" w:rsidRPr="00000000">
        <w:rPr>
          <w:b w:val="1"/>
          <w:bCs w:val="1"/>
          <w:rtl w:val="0"/>
        </w:rPr>
        <w:t xml:space="preserve">S-2220</w:t>
      </w:r>
      <w:r w:rsidDel="00000000" w:rsidR="00000000" w:rsidRPr="00000000">
        <w:rPr>
          <w:rtl w:val="0"/>
        </w:rPr>
        <w:t xml:space="preserve"> (Saúde) do eSocial, que é passível de multa 3, 5.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wgrnt1bzu5h" w:id="2"/>
      <w:bookmarkEnd w:id="2"/>
      <w:r w:rsidDel="00000000" w:rsidR="00000000" w:rsidRPr="00000000">
        <w:rPr>
          <w:rtl w:val="0"/>
        </w:rPr>
        <w:t xml:space="preserve">3. Reflexo no ASO e Relatórios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vinculação garante que os documentos finais "conversem" entre si, cumprindo a exigência de que o PGR alimente o PCMSO 6.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ASO:</w:t>
      </w:r>
      <w:r w:rsidDel="00000000" w:rsidR="00000000" w:rsidRPr="00000000">
        <w:rPr>
          <w:rtl w:val="0"/>
        </w:rPr>
        <w:t xml:space="preserve"> Ao gerar o Atestado de Saúde Ocupacional, o sistema deve puxar os riscos diretamente do banco de dados do PGR. O médico não digita os riscos; ele valida o que o sistema importou 7, 3.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Relatório Analítico:</w:t>
      </w:r>
      <w:r w:rsidDel="00000000" w:rsidR="00000000" w:rsidRPr="00000000">
        <w:rPr>
          <w:rtl w:val="0"/>
        </w:rPr>
        <w:t xml:space="preserve"> O sistema deve ser capaz de segregar os exames realizados especificamente "por natureza da exposição" (aqueles vinculados aos riscos do PGR) versus exames clínicos gerais, conforme exigido no Anexo I do relatório anual 2.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tz6ntcgie1ga" w:id="3"/>
      <w:bookmarkEnd w:id="3"/>
      <w:r w:rsidDel="00000000" w:rsidR="00000000" w:rsidRPr="00000000">
        <w:rPr>
          <w:rtl w:val="0"/>
        </w:rPr>
        <w:t xml:space="preserve">Resumo para o Desenvolvedor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lógica a ser implementada é:SELECT Exame FROM tb_risco_exame WHERE Risco_PGR_ID = [Input_Engenheiro] AND Intensidade &gt;= [Nivel_Acao].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Isso transforma a decisão subjetiva em uma regra de negócio validada, garantindo que "se há ruído no PGR, haverá audiometria no PCMSO" 3.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