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25EC" w14:textId="249EB2B8" w:rsidR="000B4AD8" w:rsidRDefault="00063547">
      <w:pPr>
        <w:rPr>
          <w:sz w:val="28"/>
          <w:szCs w:val="28"/>
        </w:rPr>
      </w:pPr>
      <w:r>
        <w:rPr>
          <w:sz w:val="28"/>
          <w:szCs w:val="28"/>
        </w:rPr>
        <w:t>Так как программа не обладает обширным функционалом и в основном весь код сгенерирован автоматически средой разработки, то рефакторингу и оптимизации подвергнется малая его часть. Для начала можно убрать ненужные подключенные библиотеки:</w:t>
      </w:r>
    </w:p>
    <w:p w14:paraId="773AF27D" w14:textId="5B6CD5E5" w:rsidR="00063547" w:rsidRDefault="00063547" w:rsidP="00063547">
      <w:pPr>
        <w:jc w:val="center"/>
        <w:rPr>
          <w:sz w:val="28"/>
          <w:szCs w:val="28"/>
        </w:rPr>
      </w:pPr>
      <w:r w:rsidRPr="00063547">
        <w:rPr>
          <w:sz w:val="28"/>
          <w:szCs w:val="28"/>
        </w:rPr>
        <w:drawing>
          <wp:inline distT="0" distB="0" distL="0" distR="0" wp14:anchorId="0B2E2274" wp14:editId="13130328">
            <wp:extent cx="5056442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3107" cy="242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B436" w14:textId="02CDE545" w:rsidR="00063547" w:rsidRDefault="00063547" w:rsidP="00063547">
      <w:pPr>
        <w:rPr>
          <w:sz w:val="28"/>
          <w:szCs w:val="28"/>
        </w:rPr>
      </w:pPr>
      <w:r>
        <w:rPr>
          <w:sz w:val="28"/>
          <w:szCs w:val="28"/>
        </w:rPr>
        <w:t>Те библиотеки, которые написаны бледным шрифтом, не используются в программе в данный момент, так как в коде нет классов или методов, которые содержат эти библиотеки. Таким образом, их можно удалить и на функционал приложения это никак не повлияет:</w:t>
      </w:r>
    </w:p>
    <w:p w14:paraId="2FE14AC1" w14:textId="65C96BBD" w:rsidR="00063547" w:rsidRDefault="00063547" w:rsidP="00063547">
      <w:pPr>
        <w:jc w:val="center"/>
        <w:rPr>
          <w:sz w:val="28"/>
          <w:szCs w:val="28"/>
        </w:rPr>
      </w:pPr>
      <w:r w:rsidRPr="00063547">
        <w:rPr>
          <w:sz w:val="28"/>
          <w:szCs w:val="28"/>
        </w:rPr>
        <w:drawing>
          <wp:inline distT="0" distB="0" distL="0" distR="0" wp14:anchorId="57CD0A88" wp14:editId="355700E0">
            <wp:extent cx="5286375" cy="1035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725" cy="104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0DBE" w14:textId="50A109A2" w:rsidR="00063547" w:rsidRDefault="008C63A9" w:rsidP="00063547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="00063547">
        <w:rPr>
          <w:sz w:val="28"/>
          <w:szCs w:val="28"/>
        </w:rPr>
        <w:t xml:space="preserve">алее обращаем внимание на код, который был сгенерирован средой разработки при подключении </w:t>
      </w:r>
      <w:r>
        <w:rPr>
          <w:sz w:val="28"/>
          <w:szCs w:val="28"/>
        </w:rPr>
        <w:t xml:space="preserve">к </w:t>
      </w:r>
      <w:proofErr w:type="spellStart"/>
      <w:r w:rsidR="00063547">
        <w:rPr>
          <w:sz w:val="28"/>
          <w:szCs w:val="28"/>
          <w:lang w:val="en-US"/>
        </w:rPr>
        <w:t>dataGridView</w:t>
      </w:r>
      <w:proofErr w:type="spellEnd"/>
      <w:r w:rsidR="00063547" w:rsidRPr="00063547">
        <w:rPr>
          <w:sz w:val="28"/>
          <w:szCs w:val="28"/>
        </w:rPr>
        <w:t xml:space="preserve"> </w:t>
      </w:r>
      <w:r>
        <w:rPr>
          <w:sz w:val="28"/>
          <w:szCs w:val="28"/>
        </w:rPr>
        <w:t>базы данных:</w:t>
      </w:r>
    </w:p>
    <w:p w14:paraId="4CFB635E" w14:textId="3077C783" w:rsidR="008C63A9" w:rsidRDefault="008C63A9" w:rsidP="00063547">
      <w:pPr>
        <w:rPr>
          <w:sz w:val="28"/>
          <w:szCs w:val="28"/>
        </w:rPr>
      </w:pPr>
      <w:r w:rsidRPr="008C63A9">
        <w:rPr>
          <w:sz w:val="28"/>
          <w:szCs w:val="28"/>
        </w:rPr>
        <w:drawing>
          <wp:inline distT="0" distB="0" distL="0" distR="0" wp14:anchorId="1D54E766" wp14:editId="04F7C61C">
            <wp:extent cx="5940425" cy="1680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ADED" w14:textId="5B79EBF8" w:rsidR="008C63A9" w:rsidRDefault="008C63A9" w:rsidP="00063547">
      <w:pPr>
        <w:rPr>
          <w:sz w:val="28"/>
          <w:szCs w:val="28"/>
        </w:rPr>
      </w:pPr>
      <w:r>
        <w:rPr>
          <w:sz w:val="28"/>
          <w:szCs w:val="28"/>
        </w:rPr>
        <w:t>Здесь можно удалить ненужные комментарии, так как эти строки не нужно будет редактировать:</w:t>
      </w:r>
    </w:p>
    <w:p w14:paraId="6F5E68C6" w14:textId="524EED36" w:rsidR="008C63A9" w:rsidRDefault="008C63A9" w:rsidP="00063547">
      <w:pPr>
        <w:rPr>
          <w:sz w:val="28"/>
          <w:szCs w:val="28"/>
        </w:rPr>
      </w:pPr>
      <w:r w:rsidRPr="008C63A9">
        <w:rPr>
          <w:sz w:val="28"/>
          <w:szCs w:val="28"/>
        </w:rPr>
        <w:lastRenderedPageBreak/>
        <w:drawing>
          <wp:inline distT="0" distB="0" distL="0" distR="0" wp14:anchorId="20F091CD" wp14:editId="7B644F9B">
            <wp:extent cx="5940425" cy="2453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23C8" w14:textId="439D754F" w:rsidR="008C63A9" w:rsidRDefault="008C63A9" w:rsidP="00063547">
      <w:pPr>
        <w:rPr>
          <w:sz w:val="28"/>
          <w:szCs w:val="28"/>
        </w:rPr>
      </w:pPr>
    </w:p>
    <w:p w14:paraId="0AAA34C4" w14:textId="5398E997" w:rsidR="008C63A9" w:rsidRDefault="008C63A9" w:rsidP="00063547">
      <w:pPr>
        <w:rPr>
          <w:sz w:val="28"/>
          <w:szCs w:val="28"/>
        </w:rPr>
      </w:pPr>
      <w:r>
        <w:rPr>
          <w:sz w:val="28"/>
          <w:szCs w:val="28"/>
        </w:rPr>
        <w:t>Те же самые действия делаем и для остальных форм: чистим код от комментариев и удаляем неиспользуемые библиотеки</w:t>
      </w:r>
      <w:r w:rsidR="00315642">
        <w:rPr>
          <w:sz w:val="28"/>
          <w:szCs w:val="28"/>
        </w:rPr>
        <w:t>:</w:t>
      </w:r>
    </w:p>
    <w:p w14:paraId="2C463354" w14:textId="2F3FE87C" w:rsidR="00315642" w:rsidRDefault="00315642" w:rsidP="00063547">
      <w:pPr>
        <w:rPr>
          <w:sz w:val="28"/>
          <w:szCs w:val="28"/>
        </w:rPr>
      </w:pPr>
      <w:r w:rsidRPr="00315642">
        <w:rPr>
          <w:sz w:val="28"/>
          <w:szCs w:val="28"/>
        </w:rPr>
        <w:drawing>
          <wp:inline distT="0" distB="0" distL="0" distR="0" wp14:anchorId="43B95874" wp14:editId="1B0BD039">
            <wp:extent cx="5940425" cy="2693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A55A" w14:textId="65C3264B" w:rsidR="00315642" w:rsidRDefault="00315642" w:rsidP="00063547">
      <w:pPr>
        <w:rPr>
          <w:sz w:val="28"/>
          <w:szCs w:val="28"/>
        </w:rPr>
      </w:pPr>
      <w:r w:rsidRPr="00315642">
        <w:rPr>
          <w:sz w:val="28"/>
          <w:szCs w:val="28"/>
        </w:rPr>
        <w:lastRenderedPageBreak/>
        <w:drawing>
          <wp:inline distT="0" distB="0" distL="0" distR="0" wp14:anchorId="54D6AFAA" wp14:editId="53509A86">
            <wp:extent cx="5940425" cy="3399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0801" w14:textId="60431CB6" w:rsidR="00056890" w:rsidRPr="00063547" w:rsidRDefault="00056890" w:rsidP="0005689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4894EC" wp14:editId="3F5D15E5">
            <wp:extent cx="3609892" cy="3609892"/>
            <wp:effectExtent l="0" t="0" r="0" b="0"/>
            <wp:docPr id="9" name="Рисунок 9" descr="Тяжелые болезни и ранние смерти: невеселые судьбы звезд «Ералаша» |  Экспресс-Нов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яжелые болезни и ранние смерти: невеселые судьбы звезд «Ералаша» |  Экспресс-Новости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453" cy="361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890" w:rsidRPr="00063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E4"/>
    <w:rsid w:val="00056890"/>
    <w:rsid w:val="00063547"/>
    <w:rsid w:val="000B4AD8"/>
    <w:rsid w:val="00315642"/>
    <w:rsid w:val="008C28E4"/>
    <w:rsid w:val="008C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174E"/>
  <w15:chartTrackingRefBased/>
  <w15:docId w15:val="{E56F5982-FA00-4702-8E1C-C719A5DF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Prince Pluxury</cp:lastModifiedBy>
  <cp:revision>3</cp:revision>
  <dcterms:created xsi:type="dcterms:W3CDTF">2021-06-01T21:57:00Z</dcterms:created>
  <dcterms:modified xsi:type="dcterms:W3CDTF">2021-06-01T22:19:00Z</dcterms:modified>
</cp:coreProperties>
</file>