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ppendix-b-survey-instrument"/>
    <w:p>
      <w:pPr>
        <w:pStyle w:val="Heading1"/>
        <w:spacing w:line="276" w:lineRule="auto"/>
      </w:pPr>
      <w:r>
        <w:rPr>
          <w:rFonts w:ascii="Arial" w:hAnsi="Arial"/>
          <w:b/>
          <w:color w:val="000000"/>
          <w:sz w:val="25"/>
        </w:rPr>
        <w:t xml:space="preserve">Appendix B: Survey Instrument</w:t>
      </w:r>
    </w:p>
    <w:bookmarkStart w:id="23" w:name="b.1-survey-flow"/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 xml:space="preserve">B.1 Survey Flow</w:t>
      </w:r>
    </w:p>
    <w:p>
      <w:pPr>
        <w:pStyle w:val="CaptionedFigure"/>
        <w:spacing w:line="276" w:lineRule="auto"/>
      </w:pPr>
      <w:r>
        <w:rPr>
          <w:rFonts w:ascii="Arial" w:hAnsi="Arial"/>
          <w:color w:val="000000"/>
          <w:sz w:val="22"/>
        </w:rPr>
        <w:drawing>
          <wp:inline>
            <wp:extent cx="5334000" cy="1010009"/>
            <wp:effectExtent b="0" l="0" r="0" t="0"/>
            <wp:docPr descr="Survey Flow Diagram" title="" id="21" name="Picture"/>
            <a:graphic>
              <a:graphicData uri="http://schemas.openxmlformats.org/drawingml/2006/picture">
                <pic:pic>
                  <pic:nvPicPr>
                    <pic:cNvPr descr="survey_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76" w:lineRule="auto"/>
      </w:pPr>
      <w:r>
        <w:rPr>
          <w:rFonts w:ascii="Arial" w:hAnsi="Arial"/>
          <w:color w:val="000000"/>
          <w:sz w:val="22"/>
        </w:rPr>
        <w:t xml:space="preserve">Survey Flow Diagram</w:t>
      </w:r>
    </w:p>
    <w:p>
      <w:pPr>
        <w:pStyle w:val="BodyText"/>
        <w:spacing w:line="276" w:lineRule="auto"/>
      </w:pPr>
      <w:r>
        <w:rPr>
          <w:rFonts w:ascii="Arial" w:hAnsi="Arial"/>
          <w:b/>
          <w:bCs/>
          <w:color w:val="000000"/>
          <w:sz w:val="22"/>
        </w:rPr>
        <w:t xml:space="preserve">Phases: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Consent → Baseline (Q1-Q3) → Instruction → Chatbot Task → Donation Decision → Post-Task Survey (Q4-Q14) → Debrief</w:t>
      </w:r>
    </w:p>
    <w:p>
      <w:pPr>
        <w:spacing w:line="276" w:lineRule="auto"/>
      </w:pPr>
      <w:r>
        <w:rPr>
          <w:rFonts w:ascii="Arial" w:hAnsi="Arial"/>
          <w:color w:val="000000"/>
          <w:sz w:val="22"/>
        </w:rPr>
        <w:pict>
          <v:rect style="width:0;height:1.5pt" o:hralign="center" o:hrstd="t" o:hr="t"/>
        </w:pict>
      </w:r>
    </w:p>
    <w:bookmarkEnd w:id="23"/>
    <w:bookmarkStart w:id="27" w:name="b.2-survey-questions"/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 xml:space="preserve">B.2 Survey Questions</w:t>
      </w:r>
    </w:p>
    <w:bookmarkStart w:id="24" w:name="baseline-measures-q1-q3"/>
    <w:p>
      <w:pPr>
        <w:pStyle w:val="Heading3"/>
        <w:spacing w:line="276" w:lineRule="auto"/>
      </w:pPr>
      <w:r>
        <w:rPr>
          <w:rFonts w:ascii="Arial" w:hAnsi="Arial"/>
          <w:b/>
          <w:color w:val="000000"/>
          <w:sz w:val="23"/>
        </w:rPr>
        <w:t xml:space="preserve">Baseline Measures (Q1-Q3)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810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#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Construct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Question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Q1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Tech Comfort (COV)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“I am comfortable using new digital technology (like AI chatbots, new apps, or online tools).”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 (1=Strongly disagree, 6=Strongly agree)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Q2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Privacy Concern (COV)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“In general, I am concerned about how my personal information is used online.”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 (1=Strongly disagree, 6=Strongly agree)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Q3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Ballot Familiarity (COV)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“How familiar are you with Swiss ballot initiatives?”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scale (1=Not at all familiar, 6=Very familiar)</w:t>
            </w:r>
          </w:p>
        </w:tc>
      </w:tr>
    </w:tbl>
    <w:bookmarkEnd w:id="24"/>
    <w:bookmarkStart w:id="25" w:name="post-task-measures-q4-q14"/>
    <w:p>
      <w:pPr>
        <w:pStyle w:val="Heading3"/>
        <w:spacing w:line="276" w:lineRule="auto"/>
      </w:pPr>
      <w:r>
        <w:rPr>
          <w:rFonts w:ascii="Arial" w:hAnsi="Arial"/>
          <w:b/>
          <w:color w:val="000000"/>
          <w:sz w:val="23"/>
        </w:rPr>
        <w:t xml:space="preserve">Post-Task Measures (Q4-Q14)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420"/>
        <w:gridCol w:w="1100"/>
        <w:gridCol w:w="2200"/>
        <w:gridCol w:w="1540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#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Construct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Tag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Question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Q4a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Perceived Transparency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MC-T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“The information about how my anonymized chat questions may be used was clear.”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Q4b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Perceived Transparency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MC-T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“I understood what would happen to my anonymized chat questions if I agreed to share them.”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Q5a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Perceived Control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MC-C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“I felt I had control over how my anonymized chat questions could be used.”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Q5b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Perceived Control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MC-C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“I felt I had meaningful choices about sharing my anonymized chat questions.”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Q6a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Risk Perception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OUT-RISK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“Even if anonymized, my chat questions could be traced back to me.”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Q6b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Risk Perception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OUT-RISK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“My anonymized chat questions could be used in ways I would not agree with.”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Q7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Trust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OUT-TRUST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“I trust the system behind this chatbot to handle anonymized questions responsibly.”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6-point Likert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Q8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Attention Check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ATT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“This chatbot helps people with questions about:”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Multiple choice: Swiss ballot initiatives / Swiss tax questions / Swiss immigration rules / I don’t remember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Q9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Age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“What is your age?”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Categories: 18-24 / 25-34 / 35-44 / 45-54 / 55-64 / 65+ / Prefer not to say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Q10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Gender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“What is your gender?”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Categories: Female / Male / Non-binary / Other / Prefer not to say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Q11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Primary Language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“What is your primary language?”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Categories: English / French / German/Swiss German / Italian / Romansh / Other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Q12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Education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“What is your highest level of education?”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Categories: Mandatory schooling / Matura / Vocational training / Higher vocational / University of Applied Sciences / University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Q13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Voting Eligibility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“Are you eligible to vote in Swiss federal elections?”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Categories: Eligible / Not eligible / Not sure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Q14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Open Feedback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QUAL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“What mattered most for your data donation decision?”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Open text (optional, max 500 chars)</w:t>
            </w:r>
          </w:p>
        </w:tc>
      </w:tr>
    </w:tbl>
    <w:bookmarkEnd w:id="25"/>
    <w:bookmarkStart w:id="26" w:name="construct-tags"/>
    <w:p>
      <w:pPr>
        <w:pStyle w:val="Heading3"/>
        <w:spacing w:line="276" w:lineRule="auto"/>
      </w:pPr>
      <w:r>
        <w:rPr>
          <w:rFonts w:ascii="Arial" w:hAnsi="Arial"/>
          <w:b/>
          <w:color w:val="000000"/>
          <w:sz w:val="23"/>
        </w:rPr>
        <w:t xml:space="preserve">Construct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84"/>
        <w:gridCol w:w="2851"/>
      </w:tblGrid>
      <w:tr>
        <w:trPr>
          <w:tblHeader w:val="on"/>
        </w:trP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Tag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Construct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COV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Covariate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Baseline control variables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MC-T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Manipulation Check - Transparency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Tests H1 manipulation effectiveness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MC-C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Manipulation Check - Control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Tests H2 manipulation effectiveness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OUT-RISK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Outcome - Risk Perception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H3 interaction mechanism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OUT-TRUST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Outcome - Trust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Supporting construct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ATT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Attention Check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Data quality screening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Demographics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Sample description</w:t>
            </w:r>
          </w:p>
        </w:tc>
      </w:tr>
      <w:tr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QUAL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Qualitative</w:t>
            </w:r>
          </w:p>
        </w:tc>
        <w:tc>
          <w:tcPr/>
          <w:p>
            <w:pPr>
              <w:pStyle w:val="Compact"/>
              <w:spacing w:line="276" w:lineRule="auto"/>
            </w:pPr>
            <w:r>
              <w:rPr>
                <w:rFonts w:ascii="Arial" w:hAnsi="Arial"/>
                <w:color w:val="000000"/>
                <w:sz w:val="22"/>
              </w:rPr>
              <w:t xml:space="preserve">Open-ended insight</w:t>
            </w:r>
          </w:p>
        </w:tc>
      </w:tr>
    </w:tbl>
    <w:p>
      <w:pPr>
        <w:spacing w:line="276" w:lineRule="auto"/>
      </w:pPr>
      <w:r>
        <w:rPr>
          <w:rFonts w:ascii="Arial" w:hAnsi="Arial"/>
          <w:color w:val="000000"/>
          <w:sz w:val="22"/>
        </w:rPr>
        <w:pict>
          <v:rect style="width:0;height:1.5pt" o:hralign="center" o:hrstd="t" o:hr="t"/>
        </w:pict>
      </w:r>
    </w:p>
    <w:bookmarkEnd w:id="26"/>
    <w:bookmarkEnd w:id="27"/>
    <w:bookmarkStart w:id="28" w:name="b.3-experimental-manipulations"/>
    <w:p>
      <w:pPr>
        <w:pStyle w:val="Heading2"/>
        <w:spacing w:line="276" w:lineRule="auto"/>
      </w:pPr>
      <w:r>
        <w:rPr>
          <w:rFonts w:ascii="Arial" w:hAnsi="Arial"/>
          <w:b/>
          <w:color w:val="000000"/>
          <w:sz w:val="24"/>
        </w:rPr>
        <w:t xml:space="preserve">B.3 Experimental Manipulations</w:t>
      </w:r>
    </w:p>
    <w:p>
      <w:pPr>
        <w:pStyle w:val="FirstParagraph"/>
        <w:spacing w:line="276" w:lineRule="auto"/>
      </w:pPr>
      <w:r>
        <w:rPr>
          <w:rFonts w:ascii="Arial" w:hAnsi="Arial"/>
          <w:color w:val="000000"/>
          <w:sz w:val="22"/>
        </w:rPr>
        <w:t xml:space="preserve">See Survey Navigator for condition-specific elements: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-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b/>
          <w:bCs/>
          <w:color w:val="000000"/>
          <w:sz w:val="22"/>
        </w:rPr>
        <w:t xml:space="preserve">Condition A (T0/C0):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Generic text + binary donation choice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-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b/>
          <w:bCs/>
          <w:color w:val="000000"/>
          <w:sz w:val="22"/>
        </w:rPr>
        <w:t xml:space="preserve">Condition B (T1/C0):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Data Nutrition Label + binary donation choice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-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b/>
          <w:bCs/>
          <w:color w:val="000000"/>
          <w:sz w:val="22"/>
        </w:rPr>
        <w:t xml:space="preserve">Condition C (T0/C1):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Generic text + privacy dashboard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-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b/>
          <w:bCs/>
          <w:color w:val="000000"/>
          <w:sz w:val="22"/>
        </w:rPr>
        <w:t xml:space="preserve">Condition D (T1/C1):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Data Nutrition Label + privacy dashboard</w:t>
      </w:r>
    </w:p>
    <w:p>
      <w:pPr>
        <w:pStyle w:val="BodyText"/>
        <w:spacing w:line="276" w:lineRule="auto"/>
      </w:pPr>
      <w:r>
        <w:rPr>
          <w:rFonts w:ascii="Arial" w:hAnsi="Arial"/>
          <w:color w:val="000000"/>
          <w:sz w:val="22"/>
        </w:rPr>
        <w:t xml:space="preserve">Interactive reference: https://chat-study.ailights.org/?debug=survey&amp;key=apertus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2026-01-31T21:29:38Z</dcterms:created>
  <dcterms:modified xsi:type="dcterms:W3CDTF">2026-01-31T21:29:38Z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