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A44"/>
          <w:sz w:val="40"/>
          <w:szCs w:val="40"/>
        </w:rPr>
        <w:t xml:space="preserve">Executive Status Report</w:t>
      </w:r>
    </w:p>
    <w:p>
      <w:pPr>
        <w:spacing w:after="300"/>
        <w:jc w:val="center"/>
      </w:pPr>
      <w:r>
        <w:rPr>
          <w:rFonts w:ascii="Calibri" w:cs="Calibri" w:eastAsia="Calibri" w:hAnsi="Calibri"/>
          <w:color w:val="6B7280"/>
          <w:sz w:val="24"/>
          <w:szCs w:val="24"/>
        </w:rPr>
        <w:t xml:space="preserve">Registrant PII Handling: Risk Assessment &amp; Remediation Plan</w:t>
      </w:r>
    </w:p>
    <w:p>
      <w:pPr>
        <w:spacing w:after="40"/>
      </w:pPr>
      <w:r>
        <w:rPr>
          <w:rFonts w:ascii="Calibri" w:cs="Calibri" w:eastAsia="Calibri" w:hAnsi="Calibri"/>
          <w:b/>
          <w:bCs/>
          <w:color w:val="1F2A44"/>
          <w:sz w:val="20"/>
          <w:szCs w:val="20"/>
        </w:rPr>
        <w:t xml:space="preserve">Prepared for: </w:t>
      </w:r>
      <w:r>
        <w:rPr>
          <w:rFonts w:ascii="Calibri" w:cs="Calibri" w:eastAsia="Calibri" w:hAnsi="Calibri"/>
          <w:sz w:val="20"/>
          <w:szCs w:val="20"/>
        </w:rPr>
        <w:t xml:space="preserve">AFJ Leadership</w:t>
      </w:r>
    </w:p>
    <w:p>
      <w:pPr>
        <w:spacing w:after="40"/>
      </w:pPr>
      <w:r>
        <w:rPr>
          <w:rFonts w:ascii="Calibri" w:cs="Calibri" w:eastAsia="Calibri" w:hAnsi="Calibri"/>
          <w:b/>
          <w:bCs/>
          <w:color w:val="1F2A44"/>
          <w:sz w:val="20"/>
          <w:szCs w:val="20"/>
        </w:rPr>
        <w:t xml:space="preserve">Report status: </w:t>
      </w:r>
      <w:r>
        <w:rPr>
          <w:rFonts w:ascii="Calibri" w:cs="Calibri" w:eastAsia="Calibri" w:hAnsi="Calibri"/>
          <w:sz w:val="20"/>
          <w:szCs w:val="20"/>
        </w:rPr>
        <w:t xml:space="preserve">DRAFT — update fields below as work progresses</w:t>
      </w:r>
    </w:p>
    <w:p>
      <w:pPr>
        <w:spacing w:after="40"/>
      </w:pPr>
      <w:r>
        <w:rPr>
          <w:rFonts w:ascii="Calibri" w:cs="Calibri" w:eastAsia="Calibri" w:hAnsi="Calibri"/>
          <w:b/>
          <w:bCs/>
          <w:color w:val="1F2A44"/>
          <w:sz w:val="20"/>
          <w:szCs w:val="20"/>
        </w:rPr>
        <w:t xml:space="preserve">Version: </w:t>
      </w:r>
      <w:r>
        <w:rPr>
          <w:rFonts w:ascii="Calibri" w:cs="Calibri" w:eastAsia="Calibri" w:hAnsi="Calibri"/>
          <w:sz w:val="20"/>
          <w:szCs w:val="20"/>
        </w:rPr>
        <w:t xml:space="preserve">6 — Postcode data-loss finding definitively confirmed</w:t>
      </w:r>
    </w:p>
    <w:p>
      <w:pPr>
        <w:spacing w:after="40"/>
      </w:pPr>
      <w:r>
        <w:rPr>
          <w:rFonts w:ascii="Calibri" w:cs="Calibri" w:eastAsia="Calibri" w:hAnsi="Calibri"/>
          <w:b/>
          <w:bCs/>
          <w:color w:val="1F2A44"/>
          <w:sz w:val="20"/>
          <w:szCs w:val="20"/>
        </w:rPr>
        <w:t xml:space="preserve">Last updated: </w:t>
      </w:r>
      <w:r>
        <w:rPr>
          <w:rFonts w:ascii="Calibri" w:cs="Calibri" w:eastAsia="Calibri" w:hAnsi="Calibri"/>
          <w:sz w:val="20"/>
          <w:szCs w:val="20"/>
        </w:rPr>
        <w:t xml:space="preserve">27 August 2026</w:t>
      </w:r>
    </w:p>
    <w:p>
      <w:pPr>
        <w:spacing w:after="40"/>
      </w:pPr>
      <w:r>
        <w:rPr>
          <w:rFonts w:ascii="Calibri" w:cs="Calibri" w:eastAsia="Calibri" w:hAnsi="Calibri"/>
          <w:b/>
          <w:bCs/>
          <w:color w:val="1F2A44"/>
          <w:sz w:val="20"/>
          <w:szCs w:val="20"/>
        </w:rPr>
        <w:t xml:space="preserve">Owner: </w:t>
      </w:r>
      <w:r>
        <w:rPr>
          <w:rFonts w:ascii="Calibri" w:cs="Calibri" w:eastAsia="Calibri" w:hAnsi="Calibri"/>
          <w:sz w:val="20"/>
          <w:szCs w:val="20"/>
        </w:rPr>
        <w:t xml:space="preserve">[Insert name]</w:t>
      </w:r>
    </w:p>
    <w:p>
      <w:pPr>
        <w:spacing w:after="200"/>
      </w:pPr>
    </w:p>
    <w:p>
      <w:pPr>
        <w:pStyle w:val="Heading1"/>
        <w:pBdr>
          <w:bottom w:val="single" w:color="1F2A44" w:sz="6" w:space="4"/>
        </w:pBdr>
        <w:spacing w:after="160" w:before="320"/>
      </w:pPr>
      <w:r>
        <w:rPr>
          <w:rFonts w:ascii="Calibri" w:cs="Calibri" w:eastAsia="Calibri" w:hAnsi="Calibri"/>
          <w:b/>
          <w:bCs/>
          <w:color w:val="1F2A44"/>
          <w:sz w:val="28"/>
          <w:szCs w:val="28"/>
        </w:rPr>
        <w:t xml:space="preserve">1. Executive Summary</w:t>
      </w:r>
    </w:p>
    <w:p>
      <w:pPr>
        <w:spacing w:after="160" w:line="276"/>
      </w:pPr>
      <w:r>
        <w:rPr>
          <w:rFonts w:ascii="Calibri" w:cs="Calibri" w:eastAsia="Calibri" w:hAnsi="Calibri"/>
          <w:sz w:val="21"/>
          <w:szCs w:val="21"/>
        </w:rPr>
        <w:t xml:space="preserve">AFJ currently collects registrant personal information (PII) through ActiveCampaign (AC), then moves it through a chain of manual, largely uncontrolled steps — a live shared spreadsheet, manual collation into Excel, personal Gmail, and personal WhatsApp/phone contacts — before it reaches its two end uses: campaign scheduling and National WhatsApp group membership.</w:t>
      </w:r>
    </w:p>
    <w:p>
      <w:pPr>
        <w:spacing w:after="160" w:line="276"/>
      </w:pPr>
      <w:r>
        <w:rPr>
          <w:rFonts w:ascii="Calibri" w:cs="Calibri" w:eastAsia="Calibri" w:hAnsi="Calibri"/>
          <w:sz w:val="21"/>
          <w:szCs w:val="21"/>
        </w:rPr>
        <w:t xml:space="preserve">This chain has no centralised access control, no audit trail beyond the initial AC record, and relies on at least one volunteer’s personal device as the de facto membership database. This represents a material data protection and business-continuity risk, and is very likely to fall outside the standard of care expected under a cyber security insurance policy.</w:t>
      </w:r>
    </w:p>
    <w:p>
      <w:pPr>
        <w:spacing w:after="160" w:line="276"/>
      </w:pPr>
      <w:r>
        <w:rPr>
          <w:rFonts w:ascii="Calibri" w:cs="Calibri" w:eastAsia="Calibri" w:hAnsi="Calibri"/>
          <w:sz w:val="21"/>
          <w:szCs w:val="21"/>
        </w:rPr>
        <w:t xml:space="preserve">This report sets out the current risk position, a phased remediation plan, and an editable action tracker for ongoing status reporting.</w:t>
      </w:r>
    </w:p>
    <w:p>
      <w:pPr>
        <w:pStyle w:val="Heading1"/>
        <w:pBdr>
          <w:bottom w:val="single" w:color="1F2A44" w:sz="6" w:space="4"/>
        </w:pBdr>
        <w:spacing w:after="160" w:before="320"/>
      </w:pPr>
      <w:r>
        <w:rPr>
          <w:rFonts w:ascii="Calibri" w:cs="Calibri" w:eastAsia="Calibri" w:hAnsi="Calibri"/>
          <w:b/>
          <w:bCs/>
          <w:color w:val="1F2A44"/>
          <w:sz w:val="28"/>
          <w:szCs w:val="28"/>
        </w:rPr>
        <w:t xml:space="preserve">2. Current State — Risk Summary</w:t>
      </w:r>
    </w:p>
    <w:p>
      <w:pPr>
        <w:spacing w:after="160" w:line="276"/>
      </w:pPr>
      <w:r>
        <w:rPr>
          <w:rFonts w:ascii="Calibri" w:cs="Calibri" w:eastAsia="Calibri" w:hAnsi="Calibri"/>
          <w:sz w:val="21"/>
          <w:szCs w:val="21"/>
        </w:rPr>
        <w:t xml:space="preserve">Each step in the current data flow, from AC through to WhatsApp group membership, carries a distinct risk profile: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400"/>
      </w:tblGrid>
      <w:tr>
        <w:trPr>
          <w:tblHeader/>
        </w:trPr>
        <w:tc>
          <w:tcPr>
            <w:tcW w:type="dxa" w:w="3400"/>
            <w:shd w:fill="1F2A4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Step / Channel</w:t>
            </w:r>
          </w:p>
        </w:tc>
        <w:tc>
          <w:tcPr>
            <w:tcW w:type="dxa" w:w="1600"/>
            <w:shd w:fill="1F2A4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Risk Level</w:t>
            </w:r>
          </w:p>
        </w:tc>
        <w:tc>
          <w:tcPr>
            <w:tcW w:type="dxa" w:w="4400"/>
            <w:shd w:fill="1F2A4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Primary Concern</w:t>
            </w:r>
          </w:p>
        </w:tc>
      </w:tr>
      <w:tr>
        <w:tc>
          <w:tcPr>
            <w:tcW w:type="dxa" w:w="3400"/>
            <w:tcMar>
              <w:top w:type="dxa" w:w="100"/>
              <w:left w:type="dxa" w:w="120"/>
              <w:bottom w:type="dxa" w:w="100"/>
              <w:right w:type="dxa" w:w="120"/>
            </w:tcMar>
            <w:vAlign w:val="center"/>
          </w:tcPr>
          <w:p>
            <w:pPr>
              <w:spacing w:after="0"/>
            </w:pPr>
            <w:r>
              <w:rPr>
                <w:rFonts w:ascii="Calibri" w:cs="Calibri" w:eastAsia="Calibri" w:hAnsi="Calibri"/>
                <w:sz w:val="19"/>
                <w:szCs w:val="19"/>
              </w:rPr>
              <w:t xml:space="preserve">ActiveCampaign (source, multiple registration forms)</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Medium</w:t>
            </w:r>
          </w:p>
        </w:tc>
        <w:tc>
          <w:tcPr>
            <w:tcW w:type="dxa" w:w="4400"/>
            <w:tcMar>
              <w:top w:type="dxa" w:w="100"/>
              <w:left w:type="dxa" w:w="120"/>
              <w:bottom w:type="dxa" w:w="100"/>
              <w:right w:type="dxa" w:w="120"/>
            </w:tcMar>
            <w:vAlign w:val="center"/>
          </w:tcPr>
          <w:p>
            <w:pPr>
              <w:spacing w:after="0"/>
            </w:pPr>
            <w:r>
              <w:rPr>
                <w:rFonts w:ascii="Calibri" w:cs="Calibri" w:eastAsia="Calibri" w:hAnsi="Calibri"/>
                <w:sz w:val="19"/>
                <w:szCs w:val="19"/>
              </w:rPr>
              <w:t xml:space="preserve">Multiple intake forms/tabs create scattered, uncatalogued PII collection points</w:t>
            </w:r>
          </w:p>
        </w:tc>
      </w:tr>
      <w:tr>
        <w:tc>
          <w:tcPr>
            <w:tcW w:type="dxa" w:w="3400"/>
            <w:tcMar>
              <w:top w:type="dxa" w:w="100"/>
              <w:left w:type="dxa" w:w="120"/>
              <w:bottom w:type="dxa" w:w="100"/>
              <w:right w:type="dxa" w:w="120"/>
            </w:tcMar>
            <w:vAlign w:val="center"/>
          </w:tcPr>
          <w:p>
            <w:pPr>
              <w:spacing w:after="0"/>
            </w:pPr>
            <w:r>
              <w:rPr>
                <w:rFonts w:ascii="Calibri" w:cs="Calibri" w:eastAsia="Calibri" w:hAnsi="Calibri"/>
                <w:sz w:val="19"/>
                <w:szCs w:val="19"/>
              </w:rPr>
              <w:t xml:space="preserve">Live shared spreadsheet link</w:t>
            </w:r>
          </w:p>
        </w:tc>
        <w:tc>
          <w:tcPr>
            <w:tcW w:type="dxa" w:w="1600"/>
            <w:shd w:fill="FBE5E3" w:color="auto" w:val="clear"/>
            <w:tcMar>
              <w:top w:type="dxa" w:w="100"/>
              <w:left w:type="dxa" w:w="120"/>
              <w:bottom w:type="dxa" w:w="100"/>
              <w:right w:type="dxa" w:w="120"/>
            </w:tcMar>
            <w:vAlign w:val="center"/>
          </w:tcPr>
          <w:p>
            <w:pPr>
              <w:spacing w:after="0"/>
            </w:pPr>
            <w:r>
              <w:rPr>
                <w:rFonts w:ascii="Calibri" w:cs="Calibri" w:eastAsia="Calibri" w:hAnsi="Calibri"/>
                <w:b/>
                <w:bCs/>
                <w:color w:val="C0392B"/>
                <w:sz w:val="19"/>
                <w:szCs w:val="19"/>
              </w:rPr>
              <w:t xml:space="preserve">High</w:t>
            </w:r>
          </w:p>
        </w:tc>
        <w:tc>
          <w:tcPr>
            <w:tcW w:type="dxa" w:w="4400"/>
            <w:tcMar>
              <w:top w:type="dxa" w:w="100"/>
              <w:left w:type="dxa" w:w="120"/>
              <w:bottom w:type="dxa" w:w="100"/>
              <w:right w:type="dxa" w:w="120"/>
            </w:tcMar>
            <w:vAlign w:val="center"/>
          </w:tcPr>
          <w:p>
            <w:pPr>
              <w:spacing w:after="0"/>
            </w:pPr>
            <w:r>
              <w:rPr>
                <w:rFonts w:ascii="Calibri" w:cs="Calibri" w:eastAsia="Calibri" w:hAnsi="Calibri"/>
                <w:sz w:val="19"/>
                <w:szCs w:val="19"/>
              </w:rPr>
              <w:t xml:space="preserve">Open-ended link access, no revocation trail, multiple PII fields in one place</w:t>
            </w:r>
          </w:p>
        </w:tc>
      </w:tr>
      <w:tr>
        <w:tc>
          <w:tcPr>
            <w:tcW w:type="dxa" w:w="3400"/>
            <w:tcMar>
              <w:top w:type="dxa" w:w="100"/>
              <w:left w:type="dxa" w:w="120"/>
              <w:bottom w:type="dxa" w:w="100"/>
              <w:right w:type="dxa" w:w="120"/>
            </w:tcMar>
            <w:vAlign w:val="center"/>
          </w:tcPr>
          <w:p>
            <w:pPr>
              <w:spacing w:after="0"/>
            </w:pPr>
            <w:r>
              <w:rPr>
                <w:rFonts w:ascii="Calibri" w:cs="Calibri" w:eastAsia="Calibri" w:hAnsi="Calibri"/>
                <w:sz w:val="19"/>
                <w:szCs w:val="19"/>
              </w:rPr>
              <w:t xml:space="preserve">Manual cross-referencing into Excel</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Medium-High</w:t>
            </w:r>
          </w:p>
        </w:tc>
        <w:tc>
          <w:tcPr>
            <w:tcW w:type="dxa" w:w="4400"/>
            <w:tcMar>
              <w:top w:type="dxa" w:w="100"/>
              <w:left w:type="dxa" w:w="120"/>
              <w:bottom w:type="dxa" w:w="100"/>
              <w:right w:type="dxa" w:w="120"/>
            </w:tcMar>
            <w:vAlign w:val="center"/>
          </w:tcPr>
          <w:p>
            <w:pPr>
              <w:spacing w:after="0"/>
            </w:pPr>
            <w:r>
              <w:rPr>
                <w:rFonts w:ascii="Calibri" w:cs="Calibri" w:eastAsia="Calibri" w:hAnsi="Calibri"/>
                <w:sz w:val="19"/>
                <w:szCs w:val="19"/>
              </w:rPr>
              <w:t xml:space="preserve">Human error, no data minimisation, recurring file on personal device</w:t>
            </w:r>
          </w:p>
        </w:tc>
      </w:tr>
      <w:tr>
        <w:tc>
          <w:tcPr>
            <w:tcW w:type="dxa" w:w="3400"/>
            <w:tcMar>
              <w:top w:type="dxa" w:w="100"/>
              <w:left w:type="dxa" w:w="120"/>
              <w:bottom w:type="dxa" w:w="100"/>
              <w:right w:type="dxa" w:w="120"/>
            </w:tcMar>
            <w:vAlign w:val="center"/>
          </w:tcPr>
          <w:p>
            <w:pPr>
              <w:spacing w:after="0"/>
            </w:pPr>
            <w:r>
              <w:rPr>
                <w:rFonts w:ascii="Calibri" w:cs="Calibri" w:eastAsia="Calibri" w:hAnsi="Calibri"/>
                <w:sz w:val="19"/>
                <w:szCs w:val="19"/>
              </w:rPr>
              <w:t xml:space="preserve">Excel file on PC filesystem</w:t>
            </w:r>
          </w:p>
        </w:tc>
        <w:tc>
          <w:tcPr>
            <w:tcW w:type="dxa" w:w="1600"/>
            <w:shd w:fill="FBE5E3" w:color="auto" w:val="clear"/>
            <w:tcMar>
              <w:top w:type="dxa" w:w="100"/>
              <w:left w:type="dxa" w:w="120"/>
              <w:bottom w:type="dxa" w:w="100"/>
              <w:right w:type="dxa" w:w="120"/>
            </w:tcMar>
            <w:vAlign w:val="center"/>
          </w:tcPr>
          <w:p>
            <w:pPr>
              <w:spacing w:after="0"/>
            </w:pPr>
            <w:r>
              <w:rPr>
                <w:rFonts w:ascii="Calibri" w:cs="Calibri" w:eastAsia="Calibri" w:hAnsi="Calibri"/>
                <w:b/>
                <w:bCs/>
                <w:color w:val="C0392B"/>
                <w:sz w:val="19"/>
                <w:szCs w:val="19"/>
              </w:rPr>
              <w:t xml:space="preserve">High</w:t>
            </w:r>
          </w:p>
        </w:tc>
        <w:tc>
          <w:tcPr>
            <w:tcW w:type="dxa" w:w="4400"/>
            <w:tcMar>
              <w:top w:type="dxa" w:w="100"/>
              <w:left w:type="dxa" w:w="120"/>
              <w:bottom w:type="dxa" w:w="100"/>
              <w:right w:type="dxa" w:w="120"/>
            </w:tcMar>
            <w:vAlign w:val="center"/>
          </w:tcPr>
          <w:p>
            <w:pPr>
              <w:spacing w:after="0"/>
            </w:pPr>
            <w:r>
              <w:rPr>
                <w:rFonts w:ascii="Calibri" w:cs="Calibri" w:eastAsia="Calibri" w:hAnsi="Calibri"/>
                <w:sz w:val="19"/>
                <w:szCs w:val="19"/>
              </w:rPr>
              <w:t xml:space="preserve">Unmanaged endpoint, no DLP, ransomware/exfiltration target</w:t>
            </w:r>
          </w:p>
        </w:tc>
      </w:tr>
      <w:tr>
        <w:tc>
          <w:tcPr>
            <w:tcW w:type="dxa" w:w="3400"/>
            <w:tcMar>
              <w:top w:type="dxa" w:w="100"/>
              <w:left w:type="dxa" w:w="120"/>
              <w:bottom w:type="dxa" w:w="100"/>
              <w:right w:type="dxa" w:w="120"/>
            </w:tcMar>
            <w:vAlign w:val="center"/>
          </w:tcPr>
          <w:p>
            <w:pPr>
              <w:spacing w:after="0"/>
            </w:pPr>
            <w:r>
              <w:rPr>
                <w:rFonts w:ascii="Calibri" w:cs="Calibri" w:eastAsia="Calibri" w:hAnsi="Calibri"/>
                <w:sz w:val="19"/>
                <w:szCs w:val="19"/>
              </w:rPr>
              <w:t xml:space="preserve">Extracts sent via personal Gmail</w:t>
            </w:r>
          </w:p>
        </w:tc>
        <w:tc>
          <w:tcPr>
            <w:tcW w:type="dxa" w:w="1600"/>
            <w:shd w:fill="FBE5E3" w:color="auto" w:val="clear"/>
            <w:tcMar>
              <w:top w:type="dxa" w:w="100"/>
              <w:left w:type="dxa" w:w="120"/>
              <w:bottom w:type="dxa" w:w="100"/>
              <w:right w:type="dxa" w:w="120"/>
            </w:tcMar>
            <w:vAlign w:val="center"/>
          </w:tcPr>
          <w:p>
            <w:pPr>
              <w:spacing w:after="0"/>
            </w:pPr>
            <w:r>
              <w:rPr>
                <w:rFonts w:ascii="Calibri" w:cs="Calibri" w:eastAsia="Calibri" w:hAnsi="Calibri"/>
                <w:b/>
                <w:bCs/>
                <w:color w:val="C0392B"/>
                <w:sz w:val="19"/>
                <w:szCs w:val="19"/>
              </w:rPr>
              <w:t xml:space="preserve">Very High</w:t>
            </w:r>
          </w:p>
        </w:tc>
        <w:tc>
          <w:tcPr>
            <w:tcW w:type="dxa" w:w="4400"/>
            <w:tcMar>
              <w:top w:type="dxa" w:w="100"/>
              <w:left w:type="dxa" w:w="120"/>
              <w:bottom w:type="dxa" w:w="100"/>
              <w:right w:type="dxa" w:w="120"/>
            </w:tcMar>
            <w:vAlign w:val="center"/>
          </w:tcPr>
          <w:p>
            <w:pPr>
              <w:spacing w:after="0"/>
            </w:pPr>
            <w:r>
              <w:rPr>
                <w:rFonts w:ascii="Calibri" w:cs="Calibri" w:eastAsia="Calibri" w:hAnsi="Calibri"/>
                <w:sz w:val="19"/>
                <w:szCs w:val="19"/>
              </w:rPr>
              <w:t xml:space="preserve">No org oversight, no DLP, uncontrolled forwarding/retention</w:t>
            </w:r>
          </w:p>
        </w:tc>
      </w:tr>
      <w:tr>
        <w:tc>
          <w:tcPr>
            <w:tcW w:type="dxa" w:w="3400"/>
            <w:tcMar>
              <w:top w:type="dxa" w:w="100"/>
              <w:left w:type="dxa" w:w="120"/>
              <w:bottom w:type="dxa" w:w="100"/>
              <w:right w:type="dxa" w:w="120"/>
            </w:tcMar>
            <w:vAlign w:val="center"/>
          </w:tcPr>
          <w:p>
            <w:pPr>
              <w:spacing w:after="0"/>
            </w:pPr>
            <w:r>
              <w:rPr>
                <w:rFonts w:ascii="Calibri" w:cs="Calibri" w:eastAsia="Calibri" w:hAnsi="Calibri"/>
                <w:sz w:val="19"/>
                <w:szCs w:val="19"/>
              </w:rPr>
              <w:t xml:space="preserve">Mobile contacts sync via Gmail</w:t>
            </w:r>
          </w:p>
        </w:tc>
        <w:tc>
          <w:tcPr>
            <w:tcW w:type="dxa" w:w="1600"/>
            <w:shd w:fill="FBE5E3" w:color="auto" w:val="clear"/>
            <w:tcMar>
              <w:top w:type="dxa" w:w="100"/>
              <w:left w:type="dxa" w:w="120"/>
              <w:bottom w:type="dxa" w:w="100"/>
              <w:right w:type="dxa" w:w="120"/>
            </w:tcMar>
            <w:vAlign w:val="center"/>
          </w:tcPr>
          <w:p>
            <w:pPr>
              <w:spacing w:after="0"/>
            </w:pPr>
            <w:r>
              <w:rPr>
                <w:rFonts w:ascii="Calibri" w:cs="Calibri" w:eastAsia="Calibri" w:hAnsi="Calibri"/>
                <w:b/>
                <w:bCs/>
                <w:color w:val="C0392B"/>
                <w:sz w:val="19"/>
                <w:szCs w:val="19"/>
              </w:rPr>
              <w:t xml:space="preserve">High</w:t>
            </w:r>
          </w:p>
        </w:tc>
        <w:tc>
          <w:tcPr>
            <w:tcW w:type="dxa" w:w="4400"/>
            <w:tcMar>
              <w:top w:type="dxa" w:w="100"/>
              <w:left w:type="dxa" w:w="120"/>
              <w:bottom w:type="dxa" w:w="100"/>
              <w:right w:type="dxa" w:w="120"/>
            </w:tcMar>
            <w:vAlign w:val="center"/>
          </w:tcPr>
          <w:p>
            <w:pPr>
              <w:spacing w:after="0"/>
            </w:pPr>
            <w:r>
              <w:rPr>
                <w:rFonts w:ascii="Calibri" w:cs="Calibri" w:eastAsia="Calibri" w:hAnsi="Calibri"/>
                <w:sz w:val="19"/>
                <w:szCs w:val="19"/>
              </w:rPr>
              <w:t xml:space="preserve">Replicates PII across every linked device; no org-side deletion control</w:t>
            </w:r>
          </w:p>
        </w:tc>
      </w:tr>
      <w:tr>
        <w:tc>
          <w:tcPr>
            <w:tcW w:type="dxa" w:w="3400"/>
            <w:tcMar>
              <w:top w:type="dxa" w:w="100"/>
              <w:left w:type="dxa" w:w="120"/>
              <w:bottom w:type="dxa" w:w="100"/>
              <w:right w:type="dxa" w:w="120"/>
            </w:tcMar>
            <w:vAlign w:val="center"/>
          </w:tcPr>
          <w:p>
            <w:pPr>
              <w:spacing w:after="0"/>
            </w:pPr>
            <w:r>
              <w:rPr>
                <w:rFonts w:ascii="Calibri" w:cs="Calibri" w:eastAsia="Calibri" w:hAnsi="Calibri"/>
                <w:sz w:val="19"/>
                <w:szCs w:val="19"/>
              </w:rPr>
              <w:t xml:space="preserve">WhatsApp admin contact accumulation (across ~100 groups)</w:t>
            </w:r>
          </w:p>
        </w:tc>
        <w:tc>
          <w:tcPr>
            <w:tcW w:type="dxa" w:w="1600"/>
            <w:shd w:fill="FBE5E3" w:color="auto" w:val="clear"/>
            <w:tcMar>
              <w:top w:type="dxa" w:w="100"/>
              <w:left w:type="dxa" w:w="120"/>
              <w:bottom w:type="dxa" w:w="100"/>
              <w:right w:type="dxa" w:w="120"/>
            </w:tcMar>
            <w:vAlign w:val="center"/>
          </w:tcPr>
          <w:p>
            <w:pPr>
              <w:spacing w:after="0"/>
            </w:pPr>
            <w:r>
              <w:rPr>
                <w:rFonts w:ascii="Calibri" w:cs="Calibri" w:eastAsia="Calibri" w:hAnsi="Calibri"/>
                <w:b/>
                <w:bCs/>
                <w:color w:val="C0392B"/>
                <w:sz w:val="19"/>
                <w:szCs w:val="19"/>
              </w:rPr>
              <w:t xml:space="preserve">Very High</w:t>
            </w:r>
          </w:p>
        </w:tc>
        <w:tc>
          <w:tcPr>
            <w:tcW w:type="dxa" w:w="4400"/>
            <w:tcMar>
              <w:top w:type="dxa" w:w="100"/>
              <w:left w:type="dxa" w:w="120"/>
              <w:bottom w:type="dxa" w:w="100"/>
              <w:right w:type="dxa" w:w="120"/>
            </w:tcMar>
            <w:vAlign w:val="center"/>
          </w:tcPr>
          <w:p>
            <w:pPr>
              <w:spacing w:after="0"/>
            </w:pPr>
            <w:r>
              <w:rPr>
                <w:rFonts w:ascii="Calibri" w:cs="Calibri" w:eastAsia="Calibri" w:hAnsi="Calibri"/>
                <w:sz w:val="19"/>
                <w:szCs w:val="19"/>
              </w:rPr>
              <w:t xml:space="preserve">Multiple volunteers, not just one, each independently accumulate registrant contacts — larger exposure than first identified</w:t>
            </w:r>
          </w:p>
        </w:tc>
      </w:tr>
      <w:tr>
        <w:tc>
          <w:tcPr>
            <w:tcW w:type="dxa" w:w="3400"/>
            <w:tcMar>
              <w:top w:type="dxa" w:w="100"/>
              <w:left w:type="dxa" w:w="120"/>
              <w:bottom w:type="dxa" w:w="100"/>
              <w:right w:type="dxa" w:w="120"/>
            </w:tcMar>
            <w:vAlign w:val="center"/>
          </w:tcPr>
          <w:p>
            <w:pPr>
              <w:spacing w:after="0"/>
            </w:pPr>
            <w:r>
              <w:rPr>
                <w:rFonts w:ascii="Calibri" w:cs="Calibri" w:eastAsia="Calibri" w:hAnsi="Calibri"/>
                <w:sz w:val="19"/>
                <w:szCs w:val="19"/>
              </w:rPr>
              <w:t xml:space="preserve">WhatsApp platform scale vs. capability</w:t>
            </w:r>
          </w:p>
        </w:tc>
        <w:tc>
          <w:tcPr>
            <w:tcW w:type="dxa" w:w="1600"/>
            <w:shd w:fill="FBE5E3" w:color="auto" w:val="clear"/>
            <w:tcMar>
              <w:top w:type="dxa" w:w="100"/>
              <w:left w:type="dxa" w:w="120"/>
              <w:bottom w:type="dxa" w:w="100"/>
              <w:right w:type="dxa" w:w="120"/>
            </w:tcMar>
            <w:vAlign w:val="center"/>
          </w:tcPr>
          <w:p>
            <w:pPr>
              <w:spacing w:after="0"/>
            </w:pPr>
            <w:r>
              <w:rPr>
                <w:rFonts w:ascii="Calibri" w:cs="Calibri" w:eastAsia="Calibri" w:hAnsi="Calibri"/>
                <w:b/>
                <w:bCs/>
                <w:color w:val="C0392B"/>
                <w:sz w:val="19"/>
                <w:szCs w:val="19"/>
              </w:rPr>
              <w:t xml:space="preserve">High</w:t>
            </w:r>
          </w:p>
        </w:tc>
        <w:tc>
          <w:tcPr>
            <w:tcW w:type="dxa" w:w="4400"/>
            <w:tcMar>
              <w:top w:type="dxa" w:w="100"/>
              <w:left w:type="dxa" w:w="120"/>
              <w:bottom w:type="dxa" w:w="100"/>
              <w:right w:type="dxa" w:w="120"/>
            </w:tcMar>
            <w:vAlign w:val="center"/>
          </w:tcPr>
          <w:p>
            <w:pPr>
              <w:spacing w:after="0"/>
            </w:pPr>
            <w:r>
              <w:rPr>
                <w:rFonts w:ascii="Calibri" w:cs="Calibri" w:eastAsia="Calibri" w:hAnsi="Calibri"/>
                <w:sz w:val="19"/>
                <w:szCs w:val="19"/>
              </w:rPr>
              <w:t xml:space="preserve">Actual footprint (100 groups, 9,000+ subscribers) exceeds single-Community limits — structural fix still an open decision, see Section 3.4</w:t>
            </w:r>
          </w:p>
        </w:tc>
      </w:tr>
    </w:tbl>
    <w:p>
      <w:pPr>
        <w:spacing w:after="200"/>
      </w:pPr>
    </w:p>
    <w:p>
      <w:pPr>
        <w:pStyle w:val="Heading1"/>
        <w:pBdr>
          <w:bottom w:val="single" w:color="1F2A44" w:sz="6" w:space="4"/>
        </w:pBdr>
        <w:spacing w:after="160" w:before="320"/>
      </w:pPr>
      <w:r>
        <w:rPr>
          <w:rFonts w:ascii="Calibri" w:cs="Calibri" w:eastAsia="Calibri" w:hAnsi="Calibri"/>
          <w:b/>
          <w:bCs/>
          <w:color w:val="1F2A44"/>
          <w:sz w:val="28"/>
          <w:szCs w:val="28"/>
        </w:rPr>
        <w:t xml:space="preserve">3. Key Findings</w:t>
      </w:r>
    </w:p>
    <w:p>
      <w:pPr>
        <w:pStyle w:val="Heading2"/>
        <w:spacing w:after="120" w:before="240"/>
      </w:pPr>
      <w:r>
        <w:rPr>
          <w:rFonts w:ascii="Calibri" w:cs="Calibri" w:eastAsia="Calibri" w:hAnsi="Calibri"/>
          <w:b/>
          <w:bCs/>
          <w:color w:val="1F2A44"/>
          <w:sz w:val="24"/>
          <w:szCs w:val="24"/>
        </w:rPr>
        <w:t xml:space="preserve">3.1 Multiple PII collection points within ActiveCampaign</w:t>
      </w:r>
    </w:p>
    <w:p>
      <w:pPr>
        <w:spacing w:after="160" w:line="276"/>
      </w:pPr>
      <w:r>
        <w:rPr>
          <w:rFonts w:ascii="Calibri" w:cs="Calibri" w:eastAsia="Calibri" w:hAnsi="Calibri"/>
          <w:sz w:val="21"/>
          <w:szCs w:val="21"/>
        </w:rPr>
        <w:t xml:space="preserve">Registrant data is currently captured through more than one registration form/tab within AC, rather than a single, consistent intake point. This has two consequences worth flagging to leadership directly:</w:t>
      </w:r>
    </w:p>
    <w:p>
      <w:pPr>
        <w:pStyle w:val="ListParagraph"/>
        <w:numPr>
          <w:ilvl w:val="0"/>
          <w:numId w:val="2"/>
        </w:numPr>
        <w:spacing w:after="80" w:line="264"/>
      </w:pPr>
      <w:r>
        <w:rPr>
          <w:rFonts w:ascii="Calibri" w:cs="Calibri" w:eastAsia="Calibri" w:hAnsi="Calibri"/>
          <w:sz w:val="21"/>
          <w:szCs w:val="21"/>
        </w:rPr>
        <w:t xml:space="preserve">It is the root cause of the manual cross-referencing step — someone must reconcile multiple tabs by hand because there is no single source of truth inside AC itself.</w:t>
      </w:r>
    </w:p>
    <w:p>
      <w:pPr>
        <w:pStyle w:val="ListParagraph"/>
        <w:numPr>
          <w:ilvl w:val="0"/>
          <w:numId w:val="2"/>
        </w:numPr>
        <w:spacing w:after="80" w:line="264"/>
      </w:pPr>
      <w:r>
        <w:rPr>
          <w:rFonts w:ascii="Calibri" w:cs="Calibri" w:eastAsia="Calibri" w:hAnsi="Calibri"/>
          <w:sz w:val="21"/>
          <w:szCs w:val="21"/>
        </w:rPr>
        <w:t xml:space="preserve">It makes it harder to know, at any given time, exactly what fields are being collected, from whom, and under what consent basis, since each form may differ.</w:t>
      </w:r>
    </w:p>
    <w:p>
      <w:pPr>
        <w:spacing w:after="160" w:line="276"/>
      </w:pPr>
      <w:r>
        <w:rPr>
          <w:rFonts w:ascii="Calibri" w:cs="Calibri" w:eastAsia="Calibri" w:hAnsi="Calibri"/>
          <w:sz w:val="21"/>
          <w:szCs w:val="21"/>
        </w:rPr>
        <w:t xml:space="preserve">Consolidating to fewer, standardised intake forms in AC (or unifying them at the point they land in Supabase, per the recommendations below) would reduce this risk regardless of which technical path is chosen.</w:t>
      </w:r>
    </w:p>
    <w:p>
      <w:pPr>
        <w:pStyle w:val="Heading2"/>
        <w:spacing w:after="120" w:before="240"/>
      </w:pPr>
      <w:r>
        <w:rPr>
          <w:rFonts w:ascii="Calibri" w:cs="Calibri" w:eastAsia="Calibri" w:hAnsi="Calibri"/>
          <w:b/>
          <w:bCs/>
          <w:color w:val="1F2A44"/>
          <w:sz w:val="24"/>
          <w:szCs w:val="24"/>
        </w:rPr>
        <w:t xml:space="preserve">3.2 No controlled path from registration to WhatsApp group membership</w:t>
      </w:r>
    </w:p>
    <w:p>
      <w:pPr>
        <w:spacing w:after="160" w:line="276"/>
      </w:pPr>
      <w:r>
        <w:rPr>
          <w:rFonts w:ascii="Calibri" w:cs="Calibri" w:eastAsia="Calibri" w:hAnsi="Calibri"/>
          <w:sz w:val="21"/>
          <w:szCs w:val="21"/>
        </w:rPr>
        <w:t xml:space="preserve">The individual responsible for adding registrants to the National WhatsApp group must save each person as a phone contact first. Over time this makes that person’s personal device the sole, permanent store of the entire membership list — a single point of failure with no organisational ability to revoke, audit, or transfer that data.</w:t>
      </w:r>
    </w:p>
    <w:p>
      <w:pPr>
        <w:pStyle w:val="Heading2"/>
        <w:spacing w:after="120" w:before="240"/>
      </w:pPr>
      <w:r>
        <w:rPr>
          <w:rFonts w:ascii="Calibri" w:cs="Calibri" w:eastAsia="Calibri" w:hAnsi="Calibri"/>
          <w:b/>
          <w:bCs/>
          <w:color w:val="1F2A44"/>
          <w:sz w:val="24"/>
          <w:szCs w:val="24"/>
        </w:rPr>
        <w:t xml:space="preserve">3.3 Live spreadsheet link has no access control</w:t>
      </w:r>
    </w:p>
    <w:p>
      <w:pPr>
        <w:spacing w:after="160" w:line="276"/>
      </w:pPr>
      <w:r>
        <w:rPr>
          <w:rFonts w:ascii="Calibri" w:cs="Calibri" w:eastAsia="Calibri" w:hAnsi="Calibri"/>
          <w:sz w:val="21"/>
          <w:szCs w:val="21"/>
        </w:rPr>
        <w:t xml:space="preserve">The spreadsheet link currently used to view registrations in real time has no meaningful access restriction, no expiry, and no record of who has viewed it. This is currently one of the least controlled points in the entire chain.</w:t>
      </w:r>
    </w:p>
    <w:p>
      <w:pPr>
        <w:pStyle w:val="Heading1"/>
        <w:pBdr>
          <w:bottom w:val="single" w:color="1F2A44" w:sz="6" w:space="4"/>
        </w:pBdr>
        <w:spacing w:after="160" w:before="320"/>
      </w:pPr>
      <w:r>
        <w:rPr>
          <w:rFonts w:ascii="Calibri" w:cs="Calibri" w:eastAsia="Calibri" w:hAnsi="Calibri"/>
          <w:b/>
          <w:bCs/>
          <w:color w:val="1F2A44"/>
          <w:sz w:val="28"/>
          <w:szCs w:val="28"/>
        </w:rPr>
        <w:t xml:space="preserve">4. Key Architecture Decisions</w:t>
      </w:r>
    </w:p>
    <w:p>
      <w:pPr>
        <w:spacing w:after="160" w:line="276"/>
      </w:pPr>
      <w:r>
        <w:rPr>
          <w:rFonts w:ascii="Calibri" w:cs="Calibri" w:eastAsia="Calibri" w:hAnsi="Calibri"/>
          <w:sz w:val="21"/>
          <w:szCs w:val="21"/>
        </w:rPr>
        <w:t xml:space="preserve">Following further review, the following decisions have been made and now form the basis of the remediation plan below:</w:t>
      </w:r>
    </w:p>
    <w:p>
      <w:pPr>
        <w:pStyle w:val="ListParagraph"/>
        <w:numPr>
          <w:ilvl w:val="0"/>
          <w:numId w:val="2"/>
        </w:numPr>
        <w:spacing w:after="80" w:line="264"/>
      </w:pPr>
      <w:r>
        <w:rPr>
          <w:rFonts w:ascii="Calibri" w:cs="Calibri" w:eastAsia="Calibri" w:hAnsi="Calibri"/>
          <w:sz w:val="21"/>
          <w:szCs w:val="21"/>
        </w:rPr>
        <w:t xml:space="preserve">Registration data will be consolidated into the existing Supabase project used by the CAS app, held in a dedicated, isolated schema — not a new/separate project — to avoid duplicating infrastructure while still keeping PII isolated from the app’s public-facing tables.</w:t>
      </w:r>
    </w:p>
    <w:p>
      <w:pPr>
        <w:pStyle w:val="ListParagraph"/>
        <w:numPr>
          <w:ilvl w:val="0"/>
          <w:numId w:val="2"/>
        </w:numPr>
        <w:spacing w:after="80" w:line="264"/>
      </w:pPr>
      <w:r>
        <w:rPr>
          <w:rFonts w:ascii="Calibri" w:cs="Calibri" w:eastAsia="Calibri" w:hAnsi="Calibri"/>
          <w:sz w:val="21"/>
          <w:szCs w:val="21"/>
        </w:rPr>
        <w:t xml:space="preserve">No table in that schema will be directly readable by client applications. All access happens through role-scoped views or Edge Functions, never a raw client-side query.</w:t>
      </w:r>
    </w:p>
    <w:p>
      <w:pPr>
        <w:pStyle w:val="ListParagraph"/>
        <w:numPr>
          <w:ilvl w:val="0"/>
          <w:numId w:val="2"/>
        </w:numPr>
        <w:spacing w:after="80" w:line="264"/>
      </w:pPr>
      <w:r>
        <w:rPr>
          <w:rFonts w:ascii="Calibri" w:cs="Calibri" w:eastAsia="Calibri" w:hAnsi="Calibri"/>
          <w:sz w:val="21"/>
          <w:szCs w:val="21"/>
        </w:rPr>
        <w:t xml:space="preserve">Full Supabase Auth (magic-link) will be rolled out to all leaders. This is required because row-level security policies need an authenticated identity to scope access by — without it, access control falls back to a shared credential, which recreates the current spreadsheet-link problem in a new form.</w:t>
      </w:r>
    </w:p>
    <w:p>
      <w:pPr>
        <w:pStyle w:val="ListParagraph"/>
        <w:numPr>
          <w:ilvl w:val="0"/>
          <w:numId w:val="2"/>
        </w:numPr>
        <w:spacing w:after="80" w:line="264"/>
      </w:pPr>
      <w:r>
        <w:rPr>
          <w:rFonts w:ascii="Calibri" w:cs="Calibri" w:eastAsia="Calibri" w:hAnsi="Calibri"/>
          <w:sz w:val="21"/>
          <w:szCs w:val="21"/>
        </w:rPr>
        <w:t xml:space="preserve">Auth rollout can proceed in parallel with the AC ingestion build, not as a blocking prerequisite — the ingestion pipeline needs no client access at all. The one hard rule: no leader is given a read view into registrant data until their individual authenticated identity and matching RLS policy exist.</w:t>
      </w:r>
    </w:p>
    <w:p>
      <w:pPr>
        <w:pStyle w:val="ListParagraph"/>
        <w:numPr>
          <w:ilvl w:val="0"/>
          <w:numId w:val="2"/>
        </w:numPr>
        <w:spacing w:after="80" w:line="264"/>
      </w:pPr>
      <w:r>
        <w:rPr>
          <w:rFonts w:ascii="Calibri" w:cs="Calibri" w:eastAsia="Calibri" w:hAnsi="Calibri"/>
          <w:sz w:val="21"/>
          <w:szCs w:val="21"/>
        </w:rPr>
        <w:t xml:space="preserve">MFA will be enforced for higher-privilege roles (national admin, WhatsApp admin) in addition to baseline magic-link auth.</w:t>
      </w:r>
    </w:p>
    <w:p>
      <w:pPr>
        <w:pStyle w:val="ListParagraph"/>
        <w:numPr>
          <w:ilvl w:val="0"/>
          <w:numId w:val="2"/>
        </w:numPr>
        <w:spacing w:after="80" w:line="264"/>
      </w:pPr>
      <w:r>
        <w:rPr>
          <w:rFonts w:ascii="Calibri" w:cs="Calibri" w:eastAsia="Calibri" w:hAnsi="Calibri"/>
          <w:sz w:val="21"/>
          <w:szCs w:val="21"/>
        </w:rPr>
        <w:t xml:space="preserve">WhatsApp will remain the member-facing communication platform for now — see Section 3.4 on scale, which has raised a separate, still-open question about whether WhatsApp can structurally support AFJ’s size.</w:t>
      </w:r>
    </w:p>
    <w:p>
      <w:pPr>
        <w:pStyle w:val="ListParagraph"/>
        <w:numPr>
          <w:ilvl w:val="0"/>
          <w:numId w:val="2"/>
        </w:numPr>
        <w:spacing w:after="80" w:line="264"/>
      </w:pPr>
      <w:r>
        <w:rPr>
          <w:rFonts w:ascii="Calibri" w:cs="Calibri" w:eastAsia="Calibri" w:hAnsi="Calibri"/>
          <w:sz w:val="21"/>
          <w:szCs w:val="21"/>
        </w:rPr>
        <w:t xml:space="preserve">Sending PII via personal email will be replaced with authenticated in-app views (day-to-day access) and short-lived signed URLs (for the rare one-off external share), rather than a “more secure email” substitute.</w:t>
      </w:r>
    </w:p>
    <w:p>
      <w:pPr>
        <w:pStyle w:val="ListParagraph"/>
        <w:numPr>
          <w:ilvl w:val="0"/>
          <w:numId w:val="2"/>
        </w:numPr>
        <w:spacing w:after="80" w:line="264"/>
      </w:pPr>
      <w:r>
        <w:rPr>
          <w:rFonts w:ascii="Calibri" w:cs="Calibri" w:eastAsia="Calibri" w:hAnsi="Calibri"/>
          <w:sz w:val="21"/>
          <w:szCs w:val="21"/>
        </w:rPr>
        <w:t xml:space="preserve">Ingestion will use scheduled polling rather than webhooks (see Section 5, Phase 1) — real-time updates are not required, and polling avoids needing further cooperation from the AC admin beyond the credentials already provided.</w:t>
      </w:r>
    </w:p>
    <w:p>
      <w:pPr>
        <w:pStyle w:val="ListParagraph"/>
        <w:numPr>
          <w:ilvl w:val="0"/>
          <w:numId w:val="2"/>
        </w:numPr>
        <w:spacing w:after="80" w:line="264"/>
      </w:pPr>
      <w:r>
        <w:rPr>
          <w:rFonts w:ascii="Calibri" w:cs="Calibri" w:eastAsia="Calibri" w:hAnsi="Calibri"/>
          <w:sz w:val="21"/>
          <w:szCs w:val="21"/>
        </w:rPr>
        <w:t xml:space="preserve">The AC API key already provided is a full-access, non-scoped credential shared with other existing integrations, and will not be rotated or regenerated at AFJ’s request. It is being handled with elevated care accordingly — see Section 3.5.</w:t>
      </w:r>
    </w:p>
    <w:p>
      <w:pPr>
        <w:pStyle w:val="ListParagraph"/>
        <w:numPr>
          <w:ilvl w:val="0"/>
          <w:numId w:val="2"/>
        </w:numPr>
        <w:spacing w:after="80" w:line="264"/>
      </w:pPr>
      <w:r>
        <w:rPr>
          <w:rFonts w:ascii="Calibri" w:cs="Calibri" w:eastAsia="Calibri" w:hAnsi="Calibri"/>
          <w:sz w:val="21"/>
          <w:szCs w:val="21"/>
        </w:rPr>
        <w:t xml:space="preserve">Religious belief/affiliation fields (denomination, church leadership status, response-prayer status) and financial-intent fields (giving amount) will NOT be brought into Supabase — confirmed by AFJ leadership. Church name/attendance fields are also excluded. These remain in ActiveCampaign only.</w:t>
      </w:r>
    </w:p>
    <w:p>
      <w:pPr>
        <w:pStyle w:val="Heading1"/>
        <w:pBdr>
          <w:bottom w:val="single" w:color="1F2A44" w:sz="6" w:space="4"/>
        </w:pBdr>
        <w:spacing w:after="160" w:before="320"/>
      </w:pPr>
      <w:r>
        <w:rPr>
          <w:rFonts w:ascii="Calibri" w:cs="Calibri" w:eastAsia="Calibri" w:hAnsi="Calibri"/>
          <w:b/>
          <w:bCs/>
          <w:color w:val="1F2A44"/>
          <w:sz w:val="28"/>
          <w:szCs w:val="28"/>
        </w:rPr>
        <w:t xml:space="preserve">3.4 WhatsApp structure exceeds platform scale limits</w:t>
      </w:r>
    </w:p>
    <w:p>
      <w:pPr>
        <w:spacing w:after="160" w:line="276"/>
      </w:pPr>
      <w:r>
        <w:rPr>
          <w:rFonts w:ascii="Calibri" w:cs="Calibri" w:eastAsia="Calibri" w:hAnsi="Calibri"/>
          <w:sz w:val="21"/>
          <w:szCs w:val="21"/>
        </w:rPr>
        <w:t xml:space="preserve">AFJ’s actual WhatsApp footprint — approximately 100 groups (national, state, city/regional) and 9,000+ subscribers — exceeds published limits for WhatsApp’s "Communities" feature under every currently available figure (sources vary between 50–100 groups and 2,000–5,000 total members per Community). A single Community cannot hold AFJ’s current scale.</w:t>
      </w:r>
    </w:p>
    <w:p>
      <w:pPr>
        <w:spacing w:after="160" w:line="276"/>
      </w:pPr>
      <w:r>
        <w:rPr>
          <w:rFonts w:ascii="Calibri" w:cs="Calibri" w:eastAsia="Calibri" w:hAnsi="Calibri"/>
          <w:sz w:val="21"/>
          <w:szCs w:val="21"/>
        </w:rPr>
        <w:t xml:space="preserve">A federated structure (multiple Communities, e.g. one per state) is mechanically possible but fragments national broadcast capability and still offers no programmatic membership visibility. This is flagged as a significant, still-open decision requiring a structured comparison against alternative platforms before committing either way — see open questions below.</w:t>
      </w:r>
    </w:p>
    <w:p>
      <w:pPr>
        <w:pStyle w:val="Heading1"/>
        <w:pBdr>
          <w:bottom w:val="single" w:color="1F2A44" w:sz="6" w:space="4"/>
        </w:pBdr>
        <w:spacing w:after="160" w:before="320"/>
      </w:pPr>
      <w:r>
        <w:rPr>
          <w:rFonts w:ascii="Calibri" w:cs="Calibri" w:eastAsia="Calibri" w:hAnsi="Calibri"/>
          <w:b/>
          <w:bCs/>
          <w:color w:val="1F2A44"/>
          <w:sz w:val="28"/>
          <w:szCs w:val="28"/>
        </w:rPr>
        <w:t xml:space="preserve">3.5 Shared, non-scoped AC API credential</w:t>
      </w:r>
    </w:p>
    <w:p>
      <w:pPr>
        <w:spacing w:after="160" w:line="276"/>
      </w:pPr>
      <w:r>
        <w:rPr>
          <w:rFonts w:ascii="Calibri" w:cs="Calibri" w:eastAsia="Calibri" w:hAnsi="Calibri"/>
          <w:sz w:val="21"/>
          <w:szCs w:val="21"/>
        </w:rPr>
        <w:t xml:space="preserve">The API key provided for AC access is a full-access, account-wide credential already used by other integrations flowing data into ActiveCampaign. AFJ has confirmed it will not be rotated or regenerated to avoid breaking those integrations. This means the credential cannot be scoped down, and any future compromise cannot be resolved unilaterally — rotation would require coordinating with whoever owns the other integrations. It is being stored in Supabase Edge Function secrets only, with access restricted to essential admins, and the sync design deliberately calls only read endpoints and paces requests conservatively against ActiveCampaign’s account-wide rate limit (5 requests/second, shared across all integrations using this account).</w:t>
      </w:r>
    </w:p>
    <w:p>
      <w:pPr>
        <w:pStyle w:val="Heading1"/>
        <w:pBdr>
          <w:bottom w:val="single" w:color="1F2A44" w:sz="6" w:space="4"/>
        </w:pBdr>
        <w:spacing w:after="160" w:before="320"/>
      </w:pPr>
      <w:r>
        <w:rPr>
          <w:rFonts w:ascii="Calibri" w:cs="Calibri" w:eastAsia="Calibri" w:hAnsi="Calibri"/>
          <w:b/>
          <w:bCs/>
          <w:color w:val="1F2A44"/>
          <w:sz w:val="28"/>
          <w:szCs w:val="28"/>
        </w:rPr>
        <w:t xml:space="preserve">3.6 Sensitive information present in AC data, now excluded from scope</w:t>
      </w:r>
    </w:p>
    <w:p>
      <w:pPr>
        <w:spacing w:after="160" w:line="276"/>
      </w:pPr>
      <w:r>
        <w:rPr>
          <w:rFonts w:ascii="Calibri" w:cs="Calibri" w:eastAsia="Calibri" w:hAnsi="Calibri"/>
          <w:sz w:val="21"/>
          <w:szCs w:val="21"/>
        </w:rPr>
        <w:t xml:space="preserve">A discovery pass across AC’s Lists and Fields confirmed that religious belief/affiliation and financial-intent data are captured on some registration forms — categories that attract a higher standard of care under the Australian Privacy Principles’ definition of "sensitive information." AFJ leadership has confirmed these fields, along with church name/attendance, will not be brought into the Supabase registry and will remain in ActiveCampaign only. This decision meaningfully reduces the compliance exposure of the new pipeline.</w:t>
      </w:r>
    </w:p>
    <w:p>
      <w:pPr>
        <w:pStyle w:val="Heading1"/>
        <w:pBdr>
          <w:bottom w:val="single" w:color="1F2A44" w:sz="6" w:space="4"/>
        </w:pBdr>
        <w:spacing w:after="160" w:before="320"/>
      </w:pPr>
      <w:r>
        <w:rPr>
          <w:rFonts w:ascii="Calibri" w:cs="Calibri" w:eastAsia="Calibri" w:hAnsi="Calibri"/>
          <w:b/>
          <w:bCs/>
          <w:color w:val="1F2A44"/>
          <w:sz w:val="28"/>
          <w:szCs w:val="28"/>
        </w:rPr>
        <w:t xml:space="preserve">3.7 AC discovery investigation — completed</w:t>
      </w:r>
    </w:p>
    <w:p>
      <w:pPr>
        <w:spacing w:after="160" w:line="276"/>
      </w:pPr>
      <w:r>
        <w:rPr>
          <w:rFonts w:ascii="Calibri" w:cs="Calibri" w:eastAsia="Calibri" w:hAnsi="Calibri"/>
          <w:sz w:val="21"/>
          <w:szCs w:val="21"/>
        </w:rPr>
        <w:t xml:space="preserve">A structured, self-service investigation (test submissions verified against real AC data, since ongoing AC admin cooperation is limited) resolved all outstanding List/field mapping questions from earlier drafts. Key findings:</w:t>
      </w:r>
    </w:p>
    <w:p>
      <w:pPr>
        <w:pStyle w:val="ListParagraph"/>
        <w:numPr>
          <w:ilvl w:val="0"/>
          <w:numId w:val="2"/>
        </w:numPr>
        <w:spacing w:after="80" w:line="264"/>
      </w:pPr>
      <w:r>
        <w:rPr>
          <w:rFonts w:ascii="Calibri" w:cs="Calibri" w:eastAsia="Calibri" w:hAnsi="Calibri"/>
          <w:sz w:val="21"/>
          <w:szCs w:val="21"/>
        </w:rPr>
        <w:t xml:space="preserve">AC List [1] "Australia For Jesus Master" is a de facto catch-all: 3 of 4 live registration pages feed it. List membership alone cannot distinguish which page a registrant came through — a per-page AC tag is the only reliable source identifier, and this is now built into the ingestion design.</w:t>
      </w:r>
    </w:p>
    <w:p>
      <w:pPr>
        <w:pStyle w:val="ListParagraph"/>
        <w:numPr>
          <w:ilvl w:val="0"/>
          <w:numId w:val="2"/>
        </w:numPr>
        <w:spacing w:after="80" w:line="264"/>
      </w:pPr>
      <w:r>
        <w:rPr>
          <w:rFonts w:ascii="Calibri" w:cs="Calibri" w:eastAsia="Calibri" w:hAnsi="Calibri"/>
          <w:sz w:val="21"/>
          <w:szCs w:val="21"/>
        </w:rPr>
        <w:t xml:space="preserve">Postcode is displayed as a required field on two live pages but definitively confirmed — via full raw-record inspection of two test contacts, including AC’s own confirmation that no address relationship exists for either — to never reach ActiveCampaign at all. This is a landing-page build issue, not an AC configuration issue, and should be raised directly with the agency managing those pages (Thrive Digital) rather than the AC admin, who would have no ability to fix it.</w:t>
      </w:r>
    </w:p>
    <w:p>
      <w:pPr>
        <w:pStyle w:val="ListParagraph"/>
        <w:numPr>
          <w:ilvl w:val="0"/>
          <w:numId w:val="2"/>
        </w:numPr>
        <w:spacing w:after="80" w:line="264"/>
      </w:pPr>
      <w:r>
        <w:rPr>
          <w:rFonts w:ascii="Calibri" w:cs="Calibri" w:eastAsia="Calibri" w:hAnsi="Calibri"/>
          <w:sz w:val="21"/>
          <w:szCs w:val="21"/>
        </w:rPr>
        <w:t xml:space="preserve">Phone numbers arrive in at least three different formats across sources, confirmed via testing — requires normalisation before reliable use in WhatsApp invite automation.</w:t>
      </w:r>
    </w:p>
    <w:p>
      <w:pPr>
        <w:pStyle w:val="ListParagraph"/>
        <w:numPr>
          <w:ilvl w:val="0"/>
          <w:numId w:val="2"/>
        </w:numPr>
        <w:spacing w:after="80" w:line="264"/>
      </w:pPr>
      <w:r>
        <w:rPr>
          <w:rFonts w:ascii="Calibri" w:cs="Calibri" w:eastAsia="Calibri" w:hAnsi="Calibri"/>
          <w:sz w:val="21"/>
          <w:szCs w:val="21"/>
        </w:rPr>
        <w:t xml:space="preserve">List [3] "Business Life" (173 contacts) was investigated using a privacy-minimising sampling method (field/tag presence only, no PII values retrieved) and found to be a marketing/content-engagement list rather than a registration source, with data too sparse to be operationally useful for campaign scheduling or WhatsApp onboarding. Recommended for exclusion from initial scope.</w:t>
      </w:r>
    </w:p>
    <w:p>
      <w:pPr>
        <w:pStyle w:val="ListParagraph"/>
        <w:numPr>
          <w:ilvl w:val="0"/>
          <w:numId w:val="2"/>
        </w:numPr>
        <w:spacing w:after="80" w:line="264"/>
      </w:pPr>
      <w:r>
        <w:rPr>
          <w:rFonts w:ascii="Calibri" w:cs="Calibri" w:eastAsia="Calibri" w:hAnsi="Calibri"/>
          <w:sz w:val="21"/>
          <w:szCs w:val="21"/>
        </w:rPr>
        <w:t xml:space="preserve">List [5] "Tony Mclennan" (5 contacts) was also investigated via privacy-minimising sampling and found to be a small, manually curated list of highly engaged individuals (likely staff, board, or major donors) spanning years of activity, including an internal administrative note and donation-related field data — not a public registration source. Recommended for exclusion from initial scope.</w:t>
      </w:r>
    </w:p>
    <w:p>
      <w:pPr>
        <w:pStyle w:val="ListParagraph"/>
        <w:numPr>
          <w:ilvl w:val="0"/>
          <w:numId w:val="2"/>
        </w:numPr>
        <w:spacing w:after="80" w:line="264"/>
      </w:pPr>
      <w:r>
        <w:rPr>
          <w:rFonts w:ascii="Calibri" w:cs="Calibri" w:eastAsia="Calibri" w:hAnsi="Calibri"/>
          <w:sz w:val="21"/>
          <w:szCs w:val="21"/>
        </w:rPr>
        <w:t xml:space="preserve">The BOTJ webinar registration page uses a third-party tool (Typeform) rather than AC’s own form builder — confirmed working via test submission, but the underlying Typeform→AC connection is unmanaged/unidentified from AFJ’s side and worth locating in case it ever needs troubleshooting.</w:t>
      </w:r>
    </w:p>
    <w:p>
      <w:pPr>
        <w:pStyle w:val="Heading1"/>
        <w:pBdr>
          <w:bottom w:val="single" w:color="1F2A44" w:sz="6" w:space="4"/>
        </w:pBdr>
        <w:spacing w:after="160" w:before="320"/>
      </w:pPr>
      <w:r>
        <w:rPr>
          <w:rFonts w:ascii="Calibri" w:cs="Calibri" w:eastAsia="Calibri" w:hAnsi="Calibri"/>
          <w:b/>
          <w:bCs/>
          <w:color w:val="1F2A44"/>
          <w:sz w:val="28"/>
          <w:szCs w:val="28"/>
        </w:rPr>
        <w:t xml:space="preserve">5. Recommendations</w:t>
      </w:r>
    </w:p>
    <w:p>
      <w:pPr>
        <w:pStyle w:val="Heading2"/>
        <w:spacing w:after="120" w:before="240"/>
      </w:pPr>
      <w:r>
        <w:rPr>
          <w:rFonts w:ascii="Calibri" w:cs="Calibri" w:eastAsia="Calibri" w:hAnsi="Calibri"/>
          <w:b/>
          <w:bCs/>
          <w:color w:val="1F2A44"/>
          <w:sz w:val="24"/>
          <w:szCs w:val="24"/>
        </w:rPr>
        <w:t xml:space="preserve">Phase 1 — Consolidate the data source (and, in parallel, roll out leader auth)</w:t>
      </w:r>
    </w:p>
    <w:p>
      <w:pPr>
        <w:pStyle w:val="ListParagraph"/>
        <w:numPr>
          <w:ilvl w:val="0"/>
          <w:numId w:val="2"/>
        </w:numPr>
        <w:spacing w:after="80" w:line="264"/>
      </w:pPr>
      <w:r>
        <w:rPr>
          <w:rFonts w:ascii="Calibri" w:cs="Calibri" w:eastAsia="Calibri" w:hAnsi="Calibri"/>
          <w:sz w:val="21"/>
          <w:szCs w:val="21"/>
        </w:rPr>
        <w:t xml:space="preserve">Build a one-way AC → Supabase sync using scheduled polling (not webhooks): a daily job pulls contacts created/updated since the last run, staged through a raw landing table before being merged into clean registrant records. This avoids needing further webhook configuration from the AC admin.</w:t>
      </w:r>
    </w:p>
    <w:p>
      <w:pPr>
        <w:pStyle w:val="ListParagraph"/>
        <w:numPr>
          <w:ilvl w:val="0"/>
          <w:numId w:val="2"/>
        </w:numPr>
        <w:spacing w:after="80" w:line="264"/>
      </w:pPr>
      <w:r>
        <w:rPr>
          <w:rFonts w:ascii="Calibri" w:cs="Calibri" w:eastAsia="Calibri" w:hAnsi="Calibri"/>
          <w:sz w:val="21"/>
          <w:szCs w:val="21"/>
        </w:rPr>
        <w:t xml:space="preserve">Confirmed via discovery and live test submissions: AC holds 4 Lists. List 1 (Australia For Jesus Master) is a de facto catch-all for three of four live registration pages, distinguished only by tags, not List ID. List 2 (Way of Life Master) is fed by the Way of Life Responder page specifically. Lists 3 (Business Life) and 5 (Tony Mclennan) are not registration sources and are excluded from scope — see Section 3.7. Field-level duplication exists across forms (e.g. two different "state" fields, now resolved — State [6] is canonical) and is reconciled in the transform step.</w:t>
      </w:r>
    </w:p>
    <w:p>
      <w:pPr>
        <w:pStyle w:val="ListParagraph"/>
        <w:numPr>
          <w:ilvl w:val="0"/>
          <w:numId w:val="2"/>
        </w:numPr>
        <w:spacing w:after="80" w:line="264"/>
      </w:pPr>
      <w:r>
        <w:rPr>
          <w:rFonts w:ascii="Calibri" w:cs="Calibri" w:eastAsia="Calibri" w:hAnsi="Calibri"/>
          <w:sz w:val="21"/>
          <w:szCs w:val="21"/>
        </w:rPr>
        <w:t xml:space="preserve">Excluded from the registry by leadership decision: religious belief/affiliation fields, financial-intent (giving) fields, and church name/attendance fields. These remain in ActiveCampaign only.</w:t>
      </w:r>
    </w:p>
    <w:p>
      <w:pPr>
        <w:pStyle w:val="ListParagraph"/>
        <w:numPr>
          <w:ilvl w:val="0"/>
          <w:numId w:val="2"/>
        </w:numPr>
        <w:spacing w:after="80" w:line="264"/>
      </w:pPr>
      <w:r>
        <w:rPr>
          <w:rFonts w:ascii="Calibri" w:cs="Calibri" w:eastAsia="Calibri" w:hAnsi="Calibri"/>
          <w:sz w:val="21"/>
          <w:szCs w:val="21"/>
        </w:rPr>
        <w:t xml:space="preserve">Handle the AC API key as a shared, full-access, non-rotatable credential — Edge Function secrets only, read-endpoints only in code, conservative pacing against the shared account-wide rate limit.</w:t>
      </w:r>
    </w:p>
    <w:p>
      <w:pPr>
        <w:pStyle w:val="ListParagraph"/>
        <w:numPr>
          <w:ilvl w:val="0"/>
          <w:numId w:val="2"/>
        </w:numPr>
        <w:spacing w:after="80" w:line="264"/>
      </w:pPr>
      <w:r>
        <w:rPr>
          <w:rFonts w:ascii="Calibri" w:cs="Calibri" w:eastAsia="Calibri" w:hAnsi="Calibri"/>
          <w:sz w:val="21"/>
          <w:szCs w:val="21"/>
        </w:rPr>
        <w:t xml:space="preserve">In parallel: roll out Supabase Auth (magic-link) to all leaders, and enforce MFA for national admin and WhatsApp admin roles.</w:t>
      </w:r>
    </w:p>
    <w:p>
      <w:pPr>
        <w:pStyle w:val="Heading2"/>
        <w:spacing w:after="120" w:before="240"/>
      </w:pPr>
      <w:r>
        <w:rPr>
          <w:rFonts w:ascii="Calibri" w:cs="Calibri" w:eastAsia="Calibri" w:hAnsi="Calibri"/>
          <w:b/>
          <w:bCs/>
          <w:color w:val="1F2A44"/>
          <w:sz w:val="24"/>
          <w:szCs w:val="24"/>
        </w:rPr>
        <w:t xml:space="preserve">Phase 2 — Replace manual/insecure distribution</w:t>
      </w:r>
    </w:p>
    <w:p>
      <w:pPr>
        <w:pStyle w:val="ListParagraph"/>
        <w:numPr>
          <w:ilvl w:val="0"/>
          <w:numId w:val="2"/>
        </w:numPr>
        <w:spacing w:after="80" w:line="264"/>
      </w:pPr>
      <w:r>
        <w:rPr>
          <w:rFonts w:ascii="Calibri" w:cs="Calibri" w:eastAsia="Calibri" w:hAnsi="Calibri"/>
          <w:sz w:val="21"/>
          <w:szCs w:val="21"/>
        </w:rPr>
        <w:t xml:space="preserve">Build RLS-scoped views so each leader sees only their state’s registrants, once auth rollout from Phase 1 is complete.</w:t>
      </w:r>
    </w:p>
    <w:p>
      <w:pPr>
        <w:pStyle w:val="ListParagraph"/>
        <w:numPr>
          <w:ilvl w:val="0"/>
          <w:numId w:val="2"/>
        </w:numPr>
        <w:spacing w:after="80" w:line="264"/>
      </w:pPr>
      <w:r>
        <w:rPr>
          <w:rFonts w:ascii="Calibri" w:cs="Calibri" w:eastAsia="Calibri" w:hAnsi="Calibri"/>
          <w:sz w:val="21"/>
          <w:szCs w:val="21"/>
        </w:rPr>
        <w:t xml:space="preserve">Retire the (now inaccessible) live spreadsheet entirely, replaced by the authenticated view above.</w:t>
      </w:r>
    </w:p>
    <w:p>
      <w:pPr>
        <w:pStyle w:val="ListParagraph"/>
        <w:numPr>
          <w:ilvl w:val="0"/>
          <w:numId w:val="2"/>
        </w:numPr>
        <w:spacing w:after="80" w:line="264"/>
      </w:pPr>
      <w:r>
        <w:rPr>
          <w:rFonts w:ascii="Calibri" w:cs="Calibri" w:eastAsia="Calibri" w:hAnsi="Calibri"/>
          <w:sz w:val="21"/>
          <w:szCs w:val="21"/>
        </w:rPr>
        <w:t xml:space="preserve">Replace email-based PII extracts with in-app views or short-lived signed URLs for any genuine one-off external share.</w:t>
      </w:r>
    </w:p>
    <w:p>
      <w:pPr>
        <w:pStyle w:val="ListParagraph"/>
        <w:numPr>
          <w:ilvl w:val="0"/>
          <w:numId w:val="2"/>
        </w:numPr>
        <w:spacing w:after="80" w:line="264"/>
      </w:pPr>
      <w:r>
        <w:rPr>
          <w:rFonts w:ascii="Calibri" w:cs="Calibri" w:eastAsia="Calibri" w:hAnsi="Calibri"/>
          <w:sz w:val="21"/>
          <w:szCs w:val="21"/>
        </w:rPr>
        <w:t xml:space="preserve">Resolve the WhatsApp scale question (Section 3.4) before building any WhatsApp automation — outcome determines whether invite-link automation targets a federated WhatsApp Community structure or an alternative platform.</w:t>
      </w:r>
    </w:p>
    <w:p>
      <w:pPr>
        <w:pStyle w:val="Heading2"/>
        <w:spacing w:after="120" w:before="240"/>
      </w:pPr>
      <w:r>
        <w:rPr>
          <w:rFonts w:ascii="Calibri" w:cs="Calibri" w:eastAsia="Calibri" w:hAnsi="Calibri"/>
          <w:b/>
          <w:bCs/>
          <w:color w:val="1F2A44"/>
          <w:sz w:val="24"/>
          <w:szCs w:val="24"/>
        </w:rPr>
        <w:t xml:space="preserve">Phase 3 — Cleanup and governance</w:t>
      </w:r>
    </w:p>
    <w:p>
      <w:pPr>
        <w:pStyle w:val="ListParagraph"/>
        <w:numPr>
          <w:ilvl w:val="0"/>
          <w:numId w:val="2"/>
        </w:numPr>
        <w:spacing w:after="80" w:line="264"/>
      </w:pPr>
      <w:r>
        <w:rPr>
          <w:rFonts w:ascii="Calibri" w:cs="Calibri" w:eastAsia="Calibri" w:hAnsi="Calibri"/>
          <w:sz w:val="21"/>
          <w:szCs w:val="21"/>
        </w:rPr>
        <w:t xml:space="preserve">Once the WhatsApp platform question is resolved: purge previously accumulated registrant contacts from admin devices, and disable contact cloud-sync going forward.</w:t>
      </w:r>
    </w:p>
    <w:p>
      <w:pPr>
        <w:pStyle w:val="ListParagraph"/>
        <w:numPr>
          <w:ilvl w:val="0"/>
          <w:numId w:val="2"/>
        </w:numPr>
        <w:spacing w:after="80" w:line="264"/>
      </w:pPr>
      <w:r>
        <w:rPr>
          <w:rFonts w:ascii="Calibri" w:cs="Calibri" w:eastAsia="Calibri" w:hAnsi="Calibri"/>
          <w:sz w:val="21"/>
          <w:szCs w:val="21"/>
        </w:rPr>
        <w:t xml:space="preserve">Review and rationalise the number of separate registration forms in AC, informed by the tab-to-List mapping exercise in the Technical Implementation Plan.</w:t>
      </w:r>
    </w:p>
    <w:p>
      <w:pPr>
        <w:pStyle w:val="ListParagraph"/>
        <w:numPr>
          <w:ilvl w:val="0"/>
          <w:numId w:val="2"/>
        </w:numPr>
        <w:spacing w:after="80" w:line="264"/>
      </w:pPr>
      <w:r>
        <w:rPr>
          <w:rFonts w:ascii="Calibri" w:cs="Calibri" w:eastAsia="Calibri" w:hAnsi="Calibri"/>
          <w:sz w:val="21"/>
          <w:szCs w:val="21"/>
        </w:rPr>
        <w:t xml:space="preserve">Separately evaluate a dedicated internal coordination tool (e.g. self-hosted Mattermost) for leader-to-leader communication — kept distinct from member onboarding.</w:t>
      </w:r>
    </w:p>
    <w:p>
      <w:pPr>
        <w:pStyle w:val="ListParagraph"/>
        <w:numPr>
          <w:ilvl w:val="0"/>
          <w:numId w:val="2"/>
        </w:numPr>
        <w:spacing w:after="80" w:line="264"/>
      </w:pPr>
      <w:r>
        <w:rPr>
          <w:rFonts w:ascii="Calibri" w:cs="Calibri" w:eastAsia="Calibri" w:hAnsi="Calibri"/>
          <w:sz w:val="21"/>
          <w:szCs w:val="21"/>
        </w:rPr>
        <w:t xml:space="preserve">Confirm with AFJ’s legal/compliance advisor whether current consent wording on AC forms adequately covers the sensitive-information fields being collected, even though they will not flow into Supabase.</w:t>
      </w:r>
    </w:p>
    <w:p>
      <w:pPr>
        <w:pStyle w:val="Heading1"/>
        <w:pBdr>
          <w:bottom w:val="single" w:color="1F2A44" w:sz="6" w:space="4"/>
        </w:pBdr>
        <w:spacing w:after="160" w:before="320"/>
      </w:pPr>
      <w:r>
        <w:rPr>
          <w:rFonts w:ascii="Calibri" w:cs="Calibri" w:eastAsia="Calibri" w:hAnsi="Calibri"/>
          <w:b/>
          <w:bCs/>
          <w:color w:val="1F2A44"/>
          <w:sz w:val="28"/>
          <w:szCs w:val="28"/>
        </w:rPr>
        <w:t xml:space="preserve">6. Action Tracker</w:t>
      </w:r>
    </w:p>
    <w:p>
      <w:pPr>
        <w:spacing w:after="160" w:line="276"/>
      </w:pPr>
      <w:r>
        <w:rPr>
          <w:rFonts w:ascii="Calibri" w:cs="Calibri" w:eastAsia="Calibri" w:hAnsi="Calibri"/>
          <w:sz w:val="21"/>
          <w:szCs w:val="21"/>
        </w:rPr>
        <w:t xml:space="preserve">Update Status, Owner, and Target Date as work progresses. Suggested statuses: Not started / In progress / Blocked / Complete.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200"/>
        <w:gridCol w:w="1400"/>
      </w:tblGrid>
      <w:tr>
        <w:trPr>
          <w:tblHeader/>
        </w:trPr>
        <w:tc>
          <w:tcPr>
            <w:tcW w:type="dxa" w:w="3600"/>
            <w:shd w:fill="1F2A4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Action</w:t>
            </w:r>
          </w:p>
        </w:tc>
        <w:tc>
          <w:tcPr>
            <w:tcW w:type="dxa" w:w="1600"/>
            <w:shd w:fill="1F2A4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Phase</w:t>
            </w:r>
          </w:p>
        </w:tc>
        <w:tc>
          <w:tcPr>
            <w:tcW w:type="dxa" w:w="1600"/>
            <w:shd w:fill="1F2A4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Status</w:t>
            </w:r>
          </w:p>
        </w:tc>
        <w:tc>
          <w:tcPr>
            <w:tcW w:type="dxa" w:w="1200"/>
            <w:shd w:fill="1F2A4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Owner</w:t>
            </w:r>
          </w:p>
        </w:tc>
        <w:tc>
          <w:tcPr>
            <w:tcW w:type="dxa" w:w="1400"/>
            <w:shd w:fill="1F2A4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Target Date</w:t>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List/field/tag mapping investigation (Tony Mclennan, /thewayoflife, Business Life)</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w:t>
            </w:r>
          </w:p>
        </w:tc>
        <w:tc>
          <w:tcPr>
            <w:tcW w:type="dxa" w:w="1600"/>
            <w:shd w:fill="E5F2E6" w:color="auto" w:val="clear"/>
            <w:tcMar>
              <w:top w:type="dxa" w:w="100"/>
              <w:left w:type="dxa" w:w="120"/>
              <w:bottom w:type="dxa" w:w="100"/>
              <w:right w:type="dxa" w:w="120"/>
            </w:tcMar>
            <w:vAlign w:val="center"/>
          </w:tcPr>
          <w:p>
            <w:pPr>
              <w:spacing w:after="0"/>
            </w:pPr>
            <w:r>
              <w:rPr>
                <w:rFonts w:ascii="Calibri" w:cs="Calibri" w:eastAsia="Calibri" w:hAnsi="Calibri"/>
                <w:b/>
                <w:bCs/>
                <w:color w:val="2E7D32"/>
                <w:sz w:val="19"/>
                <w:szCs w:val="19"/>
              </w:rPr>
              <w:t xml:space="preserve">Complete</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27 Aug 2026</w:t>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Build scheduled polling job: AC → Supabase (staging → canonical)</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Implement tag-based source identification in transform logic (List ID alone insufficient)</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Implement phone number normalisation (3+ formats confirmed in real data)</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Correct State field mapping: use [6] State as canonical, not AU State dropdown</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Build canonical registrants / registration_events schema (isolated, no direct client access)</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Raise confirmed Postcode data-loss issue directly with Thrive Digital (not AC admin)</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Identify who manages the BOTJ/Typeform→AC integration</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Handle contactLists status correctly in transform (status 1 = active; other values seen in real data, e.g. bounced)</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Roll out Supabase Auth (magic-link) for all leaders</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 (parallel)</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Enforce MFA for national admin / high-privilege roles</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1 (parallel)</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Build RLS-scoped views for leader access (role + state scoped)</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2</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Replace email PII extracts with in-app views / signed URLs</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2</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Resolve WhatsApp platform/scale decision (Community vs alternative)</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2</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Review/rationalise number of separate AC registration forms</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3</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Confirm consent wording adequacy with legal/compliance advisor</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3</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r>
        <w:tc>
          <w:tcPr>
            <w:tcW w:type="dxa" w:w="3600"/>
            <w:tcMar>
              <w:top w:type="dxa" w:w="100"/>
              <w:left w:type="dxa" w:w="120"/>
              <w:bottom w:type="dxa" w:w="100"/>
              <w:right w:type="dxa" w:w="120"/>
            </w:tcMar>
            <w:vAlign w:val="center"/>
          </w:tcPr>
          <w:p>
            <w:pPr>
              <w:spacing w:after="0"/>
            </w:pPr>
            <w:r>
              <w:rPr>
                <w:rFonts w:ascii="Calibri" w:cs="Calibri" w:eastAsia="Calibri" w:hAnsi="Calibri"/>
                <w:sz w:val="19"/>
                <w:szCs w:val="19"/>
              </w:rPr>
              <w:t xml:space="preserve">Decide on internal leader coordination tool (e.g. Mattermost)</w:t>
            </w:r>
          </w:p>
        </w:tc>
        <w:tc>
          <w:tcPr>
            <w:tcW w:type="dxa" w:w="1600"/>
            <w:tcMar>
              <w:top w:type="dxa" w:w="100"/>
              <w:left w:type="dxa" w:w="120"/>
              <w:bottom w:type="dxa" w:w="100"/>
              <w:right w:type="dxa" w:w="120"/>
            </w:tcMar>
            <w:vAlign w:val="center"/>
          </w:tcPr>
          <w:p>
            <w:pPr>
              <w:spacing w:after="0"/>
            </w:pPr>
            <w:r>
              <w:rPr>
                <w:rFonts w:ascii="Calibri" w:cs="Calibri" w:eastAsia="Calibri" w:hAnsi="Calibri"/>
                <w:sz w:val="19"/>
                <w:szCs w:val="19"/>
              </w:rPr>
              <w:t xml:space="preserve">Phase 3</w:t>
            </w:r>
          </w:p>
        </w:tc>
        <w:tc>
          <w:tcPr>
            <w:tcW w:type="dxa" w:w="1600"/>
            <w:shd w:fill="FCF3D9" w:color="auto" w:val="clear"/>
            <w:tcMar>
              <w:top w:type="dxa" w:w="100"/>
              <w:left w:type="dxa" w:w="120"/>
              <w:bottom w:type="dxa" w:w="100"/>
              <w:right w:type="dxa" w:w="120"/>
            </w:tcMar>
            <w:vAlign w:val="center"/>
          </w:tcPr>
          <w:p>
            <w:pPr>
              <w:spacing w:after="0"/>
            </w:pPr>
            <w:r>
              <w:rPr>
                <w:rFonts w:ascii="Calibri" w:cs="Calibri" w:eastAsia="Calibri" w:hAnsi="Calibri"/>
                <w:b/>
                <w:bCs/>
                <w:color w:val="B7791F"/>
                <w:sz w:val="19"/>
                <w:szCs w:val="19"/>
              </w:rPr>
              <w:t xml:space="preserve">Not started</w:t>
            </w:r>
          </w:p>
        </w:tc>
        <w:tc>
          <w:tcPr>
            <w:tcW w:type="dxa" w:w="12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c>
          <w:tcPr>
            <w:tcW w:type="dxa" w:w="1400"/>
            <w:tcMar>
              <w:top w:type="dxa" w:w="100"/>
              <w:left w:type="dxa" w:w="120"/>
              <w:bottom w:type="dxa" w:w="100"/>
              <w:right w:type="dxa" w:w="120"/>
            </w:tcMar>
            <w:vAlign w:val="center"/>
          </w:tcPr>
          <w:p>
            <w:pPr>
              <w:spacing w:after="0"/>
            </w:pPr>
            <w:r>
              <w:rPr>
                <w:rFonts w:ascii="Calibri" w:cs="Calibri" w:eastAsia="Calibri" w:hAnsi="Calibri"/>
                <w:sz w:val="19"/>
                <w:szCs w:val="19"/>
              </w:rPr>
              <w:t xml:space="preserve"/>
            </w:r>
          </w:p>
        </w:tc>
      </w:tr>
    </w:tbl>
    <w:p>
      <w:pPr>
        <w:spacing w:after="200"/>
      </w:pPr>
    </w:p>
    <w:p>
      <w:pPr>
        <w:pStyle w:val="Heading1"/>
        <w:pBdr>
          <w:bottom w:val="single" w:color="1F2A44" w:sz="6" w:space="4"/>
        </w:pBdr>
        <w:spacing w:after="160" w:before="320"/>
      </w:pPr>
      <w:r>
        <w:rPr>
          <w:rFonts w:ascii="Calibri" w:cs="Calibri" w:eastAsia="Calibri" w:hAnsi="Calibri"/>
          <w:b/>
          <w:bCs/>
          <w:color w:val="1F2A44"/>
          <w:sz w:val="28"/>
          <w:szCs w:val="28"/>
        </w:rPr>
        <w:t xml:space="preserve">7. Open Questions for Leadership</w:t>
      </w:r>
    </w:p>
    <w:p>
      <w:pPr>
        <w:pStyle w:val="ListParagraph"/>
        <w:numPr>
          <w:ilvl w:val="0"/>
          <w:numId w:val="2"/>
        </w:numPr>
        <w:spacing w:after="80" w:line="264"/>
      </w:pPr>
      <w:r>
        <w:rPr>
          <w:rFonts w:ascii="Calibri" w:cs="Calibri" w:eastAsia="Calibri" w:hAnsi="Calibri"/>
          <w:sz w:val="21"/>
          <w:szCs w:val="21"/>
        </w:rPr>
        <w:t xml:space="preserve">Should the Postcode data-loss issue be fixed (raising city/regional WhatsApp group assignment accuracy), or is state-level granularity acceptable going forward?</w:t>
      </w:r>
    </w:p>
    <w:p>
      <w:pPr>
        <w:pStyle w:val="ListParagraph"/>
        <w:numPr>
          <w:ilvl w:val="0"/>
          <w:numId w:val="2"/>
        </w:numPr>
        <w:spacing w:after="80" w:line="264"/>
      </w:pPr>
      <w:r>
        <w:rPr>
          <w:rFonts w:ascii="Calibri" w:cs="Calibri" w:eastAsia="Calibri" w:hAnsi="Calibri"/>
          <w:sz w:val="21"/>
          <w:szCs w:val="21"/>
        </w:rPr>
        <w:t xml:space="preserve">Who manages the BOTJ/Typeform integration, in case it needs troubleshooting or changes in future?</w:t>
      </w:r>
    </w:p>
    <w:p>
      <w:pPr>
        <w:pStyle w:val="ListParagraph"/>
        <w:numPr>
          <w:ilvl w:val="0"/>
          <w:numId w:val="2"/>
        </w:numPr>
        <w:spacing w:after="80" w:line="264"/>
      </w:pPr>
      <w:r>
        <w:rPr>
          <w:rFonts w:ascii="Calibri" w:cs="Calibri" w:eastAsia="Calibri" w:hAnsi="Calibri"/>
          <w:sz w:val="21"/>
          <w:szCs w:val="21"/>
        </w:rPr>
        <w:t xml:space="preserve">WhatsApp platform decision: proceed with a federated multi-Community structure, or evaluate an alternative platform, given single-Community limits are exceeded at AFJ’s current scale (Section 3.4).</w:t>
      </w:r>
    </w:p>
    <w:p>
      <w:pPr>
        <w:pStyle w:val="ListParagraph"/>
        <w:numPr>
          <w:ilvl w:val="0"/>
          <w:numId w:val="2"/>
        </w:numPr>
        <w:spacing w:after="80" w:line="264"/>
      </w:pPr>
      <w:r>
        <w:rPr>
          <w:rFonts w:ascii="Calibri" w:cs="Calibri" w:eastAsia="Calibri" w:hAnsi="Calibri"/>
          <w:sz w:val="21"/>
          <w:szCs w:val="21"/>
        </w:rPr>
        <w:t xml:space="preserve">Who should hold ongoing responsibility for reviewing AC registration form structure and consent wording, particularly given sensitive-information fields identified in discovery?</w:t>
      </w:r>
    </w:p>
    <w:p>
      <w:pPr>
        <w:pStyle w:val="ListParagraph"/>
        <w:numPr>
          <w:ilvl w:val="0"/>
          <w:numId w:val="2"/>
        </w:numPr>
        <w:spacing w:after="80" w:line="264"/>
      </w:pPr>
      <w:r>
        <w:rPr>
          <w:rFonts w:ascii="Calibri" w:cs="Calibri" w:eastAsia="Calibri" w:hAnsi="Calibri"/>
          <w:sz w:val="21"/>
          <w:szCs w:val="21"/>
        </w:rPr>
        <w:t xml:space="preserve">What retention period should apply to registrant data once campaign involvement ends?</w:t>
      </w:r>
    </w:p>
    <w:p>
      <w:pPr>
        <w:pStyle w:val="ListParagraph"/>
        <w:numPr>
          <w:ilvl w:val="0"/>
          <w:numId w:val="2"/>
        </w:numPr>
        <w:spacing w:after="80" w:line="264"/>
      </w:pPr>
      <w:r>
        <w:rPr>
          <w:rFonts w:ascii="Calibri" w:cs="Calibri" w:eastAsia="Calibri" w:hAnsi="Calibri"/>
          <w:sz w:val="21"/>
          <w:szCs w:val="21"/>
        </w:rPr>
        <w:t xml:space="preserve">Is a separate internal coordination tool (e.g. Mattermost) worth pursuing for leaders, independent of the member-facing WhatsApp decision?</w:t>
      </w:r>
    </w:p>
    <w:p>
      <w:pPr>
        <w:pStyle w:val="ListParagraph"/>
        <w:numPr>
          <w:ilvl w:val="0"/>
          <w:numId w:val="2"/>
        </w:numPr>
        <w:spacing w:after="80" w:line="264"/>
      </w:pPr>
      <w:r>
        <w:rPr>
          <w:rFonts w:ascii="Calibri" w:cs="Calibri" w:eastAsia="Calibri" w:hAnsi="Calibri"/>
          <w:sz w:val="21"/>
          <w:szCs w:val="21"/>
        </w:rPr>
        <w:t xml:space="preserve">Confirm Lists 3 ("Business Life") and 5 ("Tony Mclennan") should remain permanently excluded from the registry — both have now been investigated and characterised (Section 3.7), not left unresolved; this is a scope confirmation rather than an open investigation.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 Internal Use Only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AFJ — PII Handling Risk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2026-08-27T02:51:06.017Z</dcterms:created>
  <dcterms:modified xsi:type="dcterms:W3CDTF">2026-08-27T02:51:06.030Z</dcterms:modified>
</cp:coreProperties>
</file>

<file path=docProps/custom.xml><?xml version="1.0" encoding="utf-8"?>
<Properties xmlns="http://schemas.openxmlformats.org/officeDocument/2006/custom-properties" xmlns:vt="http://schemas.openxmlformats.org/officeDocument/2006/docPropsVTypes"/>
</file>