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43313" cy="1321409"/>
            <wp:effectExtent b="0" l="0" r="0" t="0"/>
            <wp:docPr id="1" name="image1.png"/>
            <a:graphic>
              <a:graphicData uri="http://schemas.openxmlformats.org/drawingml/2006/picture">
                <pic:pic>
                  <pic:nvPicPr>
                    <pic:cNvPr id="0" name="image1.png"/>
                    <pic:cNvPicPr preferRelativeResize="0"/>
                  </pic:nvPicPr>
                  <pic:blipFill>
                    <a:blip r:embed="rId6"/>
                    <a:srcRect b="17597" l="0" r="0" t="17597"/>
                    <a:stretch>
                      <a:fillRect/>
                    </a:stretch>
                  </pic:blipFill>
                  <pic:spPr>
                    <a:xfrm>
                      <a:off x="0" y="0"/>
                      <a:ext cx="3643313" cy="132140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0" w:before="0" w:line="360" w:lineRule="auto"/>
        <w:rPr>
          <w:rFonts w:ascii="Times New Roman" w:cs="Times New Roman" w:eastAsia="Times New Roman" w:hAnsi="Times New Roman"/>
          <w:b w:val="1"/>
          <w:bCs w:val="1"/>
          <w:sz w:val="48"/>
          <w:szCs w:val="48"/>
        </w:rPr>
      </w:pPr>
      <w:bookmarkStart w:colFirst="0" w:colLast="0" w:name="_3s0uae6goeac" w:id="0"/>
      <w:bookmarkEnd w:id="0"/>
      <w:r w:rsidDel="00000000" w:rsidR="00000000" w:rsidRPr="00000000">
        <w:rPr>
          <w:rtl w:val="0"/>
        </w:rPr>
      </w:r>
    </w:p>
    <w:p w:rsidR="00000000" w:rsidDel="00000000" w:rsidP="00000000" w:rsidRDefault="00000000" w:rsidRPr="00000000" w14:paraId="00000003">
      <w:pPr>
        <w:pStyle w:val="Title"/>
        <w:spacing w:after="0" w:before="0" w:line="360" w:lineRule="auto"/>
        <w:jc w:val="center"/>
        <w:rPr>
          <w:rFonts w:ascii="Times New Roman" w:cs="Times New Roman" w:eastAsia="Times New Roman" w:hAnsi="Times New Roman"/>
          <w:b w:val="1"/>
          <w:bCs w:val="1"/>
          <w:sz w:val="44"/>
          <w:szCs w:val="44"/>
        </w:rPr>
      </w:pPr>
      <w:bookmarkStart w:colFirst="0" w:colLast="0" w:name="_mj5dqy4tigyl" w:id="1"/>
      <w:bookmarkEnd w:id="1"/>
      <w:r w:rsidDel="00000000" w:rsidR="00000000" w:rsidRPr="00000000">
        <w:rPr>
          <w:rFonts w:ascii="Times New Roman" w:cs="Times New Roman" w:eastAsia="Times New Roman" w:hAnsi="Times New Roman"/>
          <w:b w:val="1"/>
          <w:bCs w:val="1"/>
          <w:sz w:val="44"/>
          <w:szCs w:val="44"/>
          <w:rtl w:val="0"/>
        </w:rPr>
        <w:t xml:space="preserve">Executive Summary:</w:t>
      </w:r>
    </w:p>
    <w:p w:rsidR="00000000" w:rsidDel="00000000" w:rsidP="00000000" w:rsidRDefault="00000000" w:rsidRPr="00000000" w14:paraId="00000004">
      <w:pPr>
        <w:spacing w:after="0" w:before="0" w:line="3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Reducing EV Charging Emissions with </w:t>
      </w:r>
    </w:p>
    <w:p w:rsidR="00000000" w:rsidDel="00000000" w:rsidP="00000000" w:rsidRDefault="00000000" w:rsidRPr="00000000" w14:paraId="00000005">
      <w:pPr>
        <w:spacing w:after="0" w:before="0" w:line="3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Predictive Smart Charging</w:t>
      </w:r>
      <w:r w:rsidDel="00000000" w:rsidR="00000000" w:rsidRPr="00000000">
        <w:rPr>
          <w:rtl w:val="0"/>
        </w:rPr>
      </w:r>
    </w:p>
    <w:p w:rsidR="00000000" w:rsidDel="00000000" w:rsidP="00000000" w:rsidRDefault="00000000" w:rsidRPr="00000000" w14:paraId="00000006">
      <w:pPr>
        <w:spacing w:after="0" w:before="0" w:line="360" w:lineRule="auto"/>
        <w:jc w:val="both"/>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7">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DSO 528: Blended Data Business Analytics For Efficient Decisions</w:t>
      </w:r>
    </w:p>
    <w:p w:rsidR="00000000" w:rsidDel="00000000" w:rsidP="00000000" w:rsidRDefault="00000000" w:rsidRPr="00000000" w14:paraId="00000008">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Fall 2025</w:t>
      </w:r>
      <w:r w:rsidDel="00000000" w:rsidR="00000000" w:rsidRPr="00000000">
        <w:rPr>
          <w:rtl w:val="0"/>
        </w:rPr>
      </w:r>
    </w:p>
    <w:p w:rsidR="00000000" w:rsidDel="00000000" w:rsidP="00000000" w:rsidRDefault="00000000" w:rsidRPr="00000000" w14:paraId="00000009">
      <w:pPr>
        <w:spacing w:after="0" w:before="0" w:line="360" w:lineRule="auto"/>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A">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5</w:t>
      </w:r>
    </w:p>
    <w:p w:rsidR="00000000" w:rsidDel="00000000" w:rsidP="00000000" w:rsidRDefault="00000000" w:rsidRPr="00000000" w14:paraId="0000000B">
      <w:pPr>
        <w:spacing w:after="0" w:before="0" w:line="36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C">
      <w:pPr>
        <w:spacing w:after="0" w:before="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Group Members:</w:t>
      </w:r>
    </w:p>
    <w:p w:rsidR="00000000" w:rsidDel="00000000" w:rsidP="00000000" w:rsidRDefault="00000000" w:rsidRPr="00000000" w14:paraId="0000000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Patrick (Chih-Hsiang) Chiu</w:t>
      </w:r>
    </w:p>
    <w:p w:rsidR="00000000" w:rsidDel="00000000" w:rsidP="00000000" w:rsidRDefault="00000000" w:rsidRPr="00000000" w14:paraId="0000000E">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Phuong Vu</w:t>
      </w:r>
    </w:p>
    <w:p w:rsidR="00000000" w:rsidDel="00000000" w:rsidP="00000000" w:rsidRDefault="00000000" w:rsidRPr="00000000" w14:paraId="0000000F">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Jihye Song</w:t>
      </w:r>
    </w:p>
    <w:p w:rsidR="00000000" w:rsidDel="00000000" w:rsidP="00000000" w:rsidRDefault="00000000" w:rsidRPr="00000000" w14:paraId="00000010">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Hans Ventosilla</w:t>
      </w:r>
    </w:p>
    <w:p w:rsidR="00000000" w:rsidDel="00000000" w:rsidP="00000000" w:rsidRDefault="00000000" w:rsidRPr="00000000" w14:paraId="00000011">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Jiaxin Sun</w:t>
      </w:r>
    </w:p>
    <w:p w:rsidR="00000000" w:rsidDel="00000000" w:rsidP="00000000" w:rsidRDefault="00000000" w:rsidRPr="00000000" w14:paraId="00000012">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Hrithika Shukla</w:t>
      </w:r>
    </w:p>
    <w:p w:rsidR="00000000" w:rsidDel="00000000" w:rsidP="00000000" w:rsidRDefault="00000000" w:rsidRPr="00000000" w14:paraId="00000013">
      <w:pPr>
        <w:widowControl w:val="0"/>
        <w:spacing w:after="0" w:before="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Objective</w:t>
      </w:r>
    </w:p>
    <w:p w:rsidR="00000000" w:rsidDel="00000000" w:rsidP="00000000" w:rsidRDefault="00000000" w:rsidRPr="00000000" w14:paraId="0000001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develops a machine-learning (ML)–driven smart-charging system designed to reduce EV charging emissions and increase electric-vehicle adoption through a data-supported incentive structure. Using 2024 SCE marginal emissions, over 8,700 hourly observations, and detailed session-level charging data, we quantify the emissions reductions achievable through delay scheduling and convert these reductions into a financially grounded incentive program. We combine predictive modeling, causal evaluation, price elasticity of EV demand, and an incentive optimization framework to evaluate the environmental and economic benefits of deploying ML-enabled smart charging at scale.</w:t>
      </w:r>
    </w:p>
    <w:p w:rsidR="00000000" w:rsidDel="00000000" w:rsidP="00000000" w:rsidRDefault="00000000" w:rsidRPr="00000000" w14:paraId="00000018">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Predictive Modeling Performance</w:t>
      </w:r>
      <w:r w:rsidDel="00000000" w:rsidR="00000000" w:rsidRPr="00000000">
        <w:rPr>
          <w:rtl w:val="0"/>
        </w:rPr>
      </w:r>
    </w:p>
    <w:p w:rsidR="00000000" w:rsidDel="00000000" w:rsidP="00000000" w:rsidRDefault="00000000" w:rsidRPr="00000000" w14:paraId="0000001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2022–2023 labeled training data, we fit four classifiers: Logistic Regression, Logistic Regression with interaction terms, Random Forest, and XGBoost to predict whether delaying charging by eight hours lowers emissions for a given timestamp. Out of the models tested, XGBoost achieves the highest AUC (0.820). This means XGBoost is the best at ranking cleaner versus dirtier future charging windows. However, all models, including XGBoost, struggle with class imbalance: they predict “charge now” far more often than “delay.”</w:t>
      </w:r>
    </w:p>
    <w:p w:rsidR="00000000" w:rsidDel="00000000" w:rsidP="00000000" w:rsidRDefault="00000000" w:rsidRPr="00000000" w14:paraId="0000001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tuned decision threshold captures the asymmetric cost structure of false delays (increasing emissions) versus missed opportunities to delay (foregoing savings). When applied to unseen 2024 emissions, the XGBoost model predicts delay for 30.96% of the time, compared with the true beneficial delay rate of 19.66%. The probability distribution confirms that most nighttime hours have extremely low delay value, while midday periods yield significant reductions, aligning with California’s renewable-generation curve. This performance enables the model to meaningfully approximate the optimal schedule despite uncertainty.</w:t>
      </w:r>
      <w:r w:rsidDel="00000000" w:rsidR="00000000" w:rsidRPr="00000000">
        <w:rPr>
          <w:rtl w:val="0"/>
        </w:rPr>
      </w:r>
    </w:p>
    <w:p w:rsidR="00000000" w:rsidDel="00000000" w:rsidP="00000000" w:rsidRDefault="00000000" w:rsidRPr="00000000" w14:paraId="0000001D">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pStyle w:val="Heading2"/>
        <w:keepNext w:val="0"/>
        <w:keepLines w:val="0"/>
        <w:widowControl w:val="0"/>
        <w:spacing w:after="0" w:before="0" w:line="360" w:lineRule="auto"/>
        <w:jc w:val="both"/>
        <w:rPr>
          <w:rFonts w:ascii="Times New Roman" w:cs="Times New Roman" w:eastAsia="Times New Roman" w:hAnsi="Times New Roman"/>
          <w:b w:val="1"/>
          <w:bCs w:val="1"/>
          <w:sz w:val="24"/>
          <w:szCs w:val="24"/>
        </w:rPr>
      </w:pPr>
      <w:bookmarkStart w:colFirst="0" w:colLast="0" w:name="_8vky5ut28r95" w:id="2"/>
      <w:bookmarkEnd w:id="2"/>
      <w:r w:rsidDel="00000000" w:rsidR="00000000" w:rsidRPr="00000000">
        <w:rPr>
          <w:rFonts w:ascii="Times New Roman" w:cs="Times New Roman" w:eastAsia="Times New Roman" w:hAnsi="Times New Roman"/>
          <w:b w:val="1"/>
          <w:bCs w:val="1"/>
          <w:sz w:val="24"/>
          <w:szCs w:val="24"/>
          <w:rtl w:val="0"/>
        </w:rPr>
        <w:t xml:space="preserve">Emissions Impact of Machine Learning Smart Charging</w:t>
      </w:r>
    </w:p>
    <w:p w:rsidR="00000000" w:rsidDel="00000000" w:rsidP="00000000" w:rsidRDefault="00000000" w:rsidRPr="00000000" w14:paraId="0000001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the XGBoost model to all real 2024 charging sessions yields substantial emissions reductions. Under baseline behavior where every vehicle charges immediately upon plug-in, total emissions reach </w:t>
      </w:r>
      <w:r w:rsidDel="00000000" w:rsidR="00000000" w:rsidRPr="00000000">
        <w:rPr>
          <w:rFonts w:ascii="Times New Roman" w:cs="Times New Roman" w:eastAsia="Times New Roman" w:hAnsi="Times New Roman"/>
          <w:b w:val="1"/>
          <w:bCs w:val="1"/>
          <w:sz w:val="24"/>
          <w:szCs w:val="24"/>
          <w:rtl w:val="0"/>
        </w:rPr>
        <w:t xml:space="preserve">4,931,979 lbs CO₂</w:t>
      </w:r>
      <w:r w:rsidDel="00000000" w:rsidR="00000000" w:rsidRPr="00000000">
        <w:rPr>
          <w:rFonts w:ascii="Times New Roman" w:cs="Times New Roman" w:eastAsia="Times New Roman" w:hAnsi="Times New Roman"/>
          <w:sz w:val="24"/>
          <w:szCs w:val="24"/>
          <w:rtl w:val="0"/>
        </w:rPr>
        <w:t xml:space="preserve">. Under a theoretical perfect schedule with complete foresight, emissions fall to </w:t>
      </w:r>
      <w:r w:rsidDel="00000000" w:rsidR="00000000" w:rsidRPr="00000000">
        <w:rPr>
          <w:rFonts w:ascii="Times New Roman" w:cs="Times New Roman" w:eastAsia="Times New Roman" w:hAnsi="Times New Roman"/>
          <w:b w:val="1"/>
          <w:bCs w:val="1"/>
          <w:sz w:val="24"/>
          <w:szCs w:val="24"/>
          <w:rtl w:val="0"/>
        </w:rPr>
        <w:t xml:space="preserve">4,265,200 lbs</w:t>
      </w:r>
      <w:r w:rsidDel="00000000" w:rsidR="00000000" w:rsidRPr="00000000">
        <w:rPr>
          <w:rFonts w:ascii="Times New Roman" w:cs="Times New Roman" w:eastAsia="Times New Roman" w:hAnsi="Times New Roman"/>
          <w:sz w:val="24"/>
          <w:szCs w:val="24"/>
          <w:rtl w:val="0"/>
        </w:rPr>
        <w:t xml:space="preserve">, representing a maximum potential reduction of </w:t>
      </w:r>
      <w:r w:rsidDel="00000000" w:rsidR="00000000" w:rsidRPr="00000000">
        <w:rPr>
          <w:rFonts w:ascii="Times New Roman" w:cs="Times New Roman" w:eastAsia="Times New Roman" w:hAnsi="Times New Roman"/>
          <w:b w:val="1"/>
          <w:bCs w:val="1"/>
          <w:sz w:val="24"/>
          <w:szCs w:val="24"/>
          <w:rtl w:val="0"/>
        </w:rPr>
        <w:t xml:space="preserve">666,779 lbs (13.52%)</w:t>
      </w:r>
      <w:r w:rsidDel="00000000" w:rsidR="00000000" w:rsidRPr="00000000">
        <w:rPr>
          <w:rFonts w:ascii="Times New Roman" w:cs="Times New Roman" w:eastAsia="Times New Roman" w:hAnsi="Times New Roman"/>
          <w:sz w:val="24"/>
          <w:szCs w:val="24"/>
          <w:rtl w:val="0"/>
        </w:rPr>
        <w:t xml:space="preserve">. The XGBoost model achieves </w:t>
      </w:r>
      <w:r w:rsidDel="00000000" w:rsidR="00000000" w:rsidRPr="00000000">
        <w:rPr>
          <w:rFonts w:ascii="Times New Roman" w:cs="Times New Roman" w:eastAsia="Times New Roman" w:hAnsi="Times New Roman"/>
          <w:b w:val="1"/>
          <w:bCs w:val="1"/>
          <w:sz w:val="24"/>
          <w:szCs w:val="24"/>
          <w:rtl w:val="0"/>
        </w:rPr>
        <w:t xml:space="preserve">4,343,579 lbs</w:t>
      </w:r>
      <w:r w:rsidDel="00000000" w:rsidR="00000000" w:rsidRPr="00000000">
        <w:rPr>
          <w:rFonts w:ascii="Times New Roman" w:cs="Times New Roman" w:eastAsia="Times New Roman" w:hAnsi="Times New Roman"/>
          <w:sz w:val="24"/>
          <w:szCs w:val="24"/>
          <w:rtl w:val="0"/>
        </w:rPr>
        <w:t xml:space="preserve">, reducing emissions by </w:t>
      </w:r>
      <w:r w:rsidDel="00000000" w:rsidR="00000000" w:rsidRPr="00000000">
        <w:rPr>
          <w:rFonts w:ascii="Times New Roman" w:cs="Times New Roman" w:eastAsia="Times New Roman" w:hAnsi="Times New Roman"/>
          <w:b w:val="1"/>
          <w:bCs w:val="1"/>
          <w:sz w:val="24"/>
          <w:szCs w:val="24"/>
          <w:rtl w:val="0"/>
        </w:rPr>
        <w:t xml:space="preserve">588,400 lbs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11.93%</w:t>
      </w:r>
      <w:r w:rsidDel="00000000" w:rsidR="00000000" w:rsidRPr="00000000">
        <w:rPr>
          <w:rFonts w:ascii="Times New Roman" w:cs="Times New Roman" w:eastAsia="Times New Roman" w:hAnsi="Times New Roman"/>
          <w:sz w:val="24"/>
          <w:szCs w:val="24"/>
          <w:rtl w:val="0"/>
        </w:rPr>
        <w:t xml:space="preserve"> relative to baseline. The model achieves </w:t>
      </w:r>
      <w:r w:rsidDel="00000000" w:rsidR="00000000" w:rsidRPr="00000000">
        <w:rPr>
          <w:rFonts w:ascii="Times New Roman" w:cs="Times New Roman" w:eastAsia="Times New Roman" w:hAnsi="Times New Roman"/>
          <w:b w:val="1"/>
          <w:bCs w:val="1"/>
          <w:sz w:val="24"/>
          <w:szCs w:val="24"/>
          <w:rtl w:val="0"/>
        </w:rPr>
        <w:t xml:space="preserve">88.25% of the theoretical maximum</w:t>
      </w:r>
      <w:r w:rsidDel="00000000" w:rsidR="00000000" w:rsidRPr="00000000">
        <w:rPr>
          <w:rFonts w:ascii="Times New Roman" w:cs="Times New Roman" w:eastAsia="Times New Roman" w:hAnsi="Times New Roman"/>
          <w:sz w:val="24"/>
          <w:szCs w:val="24"/>
          <w:rtl w:val="0"/>
        </w:rPr>
        <w:t xml:space="preserve">, a high level of efficiency given the limited set of observable features. On a per-vehicle basis, this corresponds to </w:t>
      </w:r>
      <w:r w:rsidDel="00000000" w:rsidR="00000000" w:rsidRPr="00000000">
        <w:rPr>
          <w:rFonts w:ascii="Times New Roman" w:cs="Times New Roman" w:eastAsia="Times New Roman" w:hAnsi="Times New Roman"/>
          <w:b w:val="1"/>
          <w:bCs w:val="1"/>
          <w:sz w:val="24"/>
          <w:szCs w:val="24"/>
          <w:rtl w:val="0"/>
        </w:rPr>
        <w:t xml:space="preserve">287.44 lbs CO₂ saved annually</w:t>
      </w:r>
      <w:r w:rsidDel="00000000" w:rsidR="00000000" w:rsidRPr="00000000">
        <w:rPr>
          <w:rFonts w:ascii="Times New Roman" w:cs="Times New Roman" w:eastAsia="Times New Roman" w:hAnsi="Times New Roman"/>
          <w:sz w:val="24"/>
          <w:szCs w:val="24"/>
          <w:rtl w:val="0"/>
        </w:rPr>
        <w:t xml:space="preserve">. All reductions occur automatically without requiring user behavior change, making ML-based smart charging an immediately deployable, low-friction decarbonization lever.</w:t>
      </w:r>
    </w:p>
    <w:p w:rsidR="00000000" w:rsidDel="00000000" w:rsidP="00000000" w:rsidRDefault="00000000" w:rsidRPr="00000000" w14:paraId="00000020">
      <w:pPr>
        <w:pStyle w:val="Heading2"/>
        <w:keepNext w:val="0"/>
        <w:keepLines w:val="0"/>
        <w:widowControl w:val="0"/>
        <w:spacing w:after="0" w:before="0" w:line="360" w:lineRule="auto"/>
        <w:jc w:val="both"/>
        <w:rPr>
          <w:rFonts w:ascii="Times New Roman" w:cs="Times New Roman" w:eastAsia="Times New Roman" w:hAnsi="Times New Roman"/>
          <w:b w:val="1"/>
          <w:bCs w:val="1"/>
          <w:sz w:val="24"/>
          <w:szCs w:val="24"/>
        </w:rPr>
      </w:pPr>
      <w:bookmarkStart w:colFirst="0" w:colLast="0" w:name="_xqdh2sso7qji" w:id="3"/>
      <w:bookmarkEnd w:id="3"/>
      <w:r w:rsidDel="00000000" w:rsidR="00000000" w:rsidRPr="00000000">
        <w:rPr>
          <w:rtl w:val="0"/>
        </w:rPr>
      </w:r>
    </w:p>
    <w:p w:rsidR="00000000" w:rsidDel="00000000" w:rsidP="00000000" w:rsidRDefault="00000000" w:rsidRPr="00000000" w14:paraId="00000021">
      <w:pPr>
        <w:pStyle w:val="Heading2"/>
        <w:keepNext w:val="0"/>
        <w:keepLines w:val="0"/>
        <w:widowControl w:val="0"/>
        <w:spacing w:after="0" w:before="0" w:line="360" w:lineRule="auto"/>
        <w:jc w:val="both"/>
        <w:rPr>
          <w:rFonts w:ascii="Times New Roman" w:cs="Times New Roman" w:eastAsia="Times New Roman" w:hAnsi="Times New Roman"/>
          <w:b w:val="1"/>
          <w:bCs w:val="1"/>
          <w:sz w:val="24"/>
          <w:szCs w:val="24"/>
        </w:rPr>
      </w:pPr>
      <w:bookmarkStart w:colFirst="0" w:colLast="0" w:name="_vxlphhpiijpq" w:id="4"/>
      <w:bookmarkEnd w:id="4"/>
      <w:r w:rsidDel="00000000" w:rsidR="00000000" w:rsidRPr="00000000">
        <w:rPr>
          <w:rFonts w:ascii="Times New Roman" w:cs="Times New Roman" w:eastAsia="Times New Roman" w:hAnsi="Times New Roman"/>
          <w:b w:val="1"/>
          <w:bCs w:val="1"/>
          <w:sz w:val="24"/>
          <w:szCs w:val="24"/>
          <w:rtl w:val="0"/>
        </w:rPr>
        <w:t xml:space="preserve">Economic Interpretation of Emissions Savings</w:t>
      </w:r>
    </w:p>
    <w:p w:rsidR="00000000" w:rsidDel="00000000" w:rsidP="00000000" w:rsidRDefault="00000000" w:rsidRPr="00000000" w14:paraId="0000002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emissions reductions directly translate into quantifiable social and regulatory value, we convert the 287.44 lbs per-vehicle annual reduction into financial incentives. Using a wide range of incentive levels ($1–$10 per lb CO₂ avoided), we compute equivalent monthly rebates for EV buyers, which reduce the effective monthly cost of ownership. At the incentive level that maximizes adoption response, </w:t>
      </w:r>
      <w:r w:rsidDel="00000000" w:rsidR="00000000" w:rsidRPr="00000000">
        <w:rPr>
          <w:rFonts w:ascii="Times New Roman" w:cs="Times New Roman" w:eastAsia="Times New Roman" w:hAnsi="Times New Roman"/>
          <w:b w:val="1"/>
          <w:bCs w:val="1"/>
          <w:sz w:val="24"/>
          <w:szCs w:val="24"/>
          <w:rtl w:val="0"/>
        </w:rPr>
        <w:t xml:space="preserve">$10 per lb avoided</w:t>
      </w:r>
      <w:r w:rsidDel="00000000" w:rsidR="00000000" w:rsidRPr="00000000">
        <w:rPr>
          <w:rFonts w:ascii="Times New Roman" w:cs="Times New Roman" w:eastAsia="Times New Roman" w:hAnsi="Times New Roman"/>
          <w:sz w:val="24"/>
          <w:szCs w:val="24"/>
          <w:rtl w:val="0"/>
        </w:rPr>
        <w:t xml:space="preserve">, each vehicle receives an annual incentive of approximately </w:t>
      </w:r>
      <w:r w:rsidDel="00000000" w:rsidR="00000000" w:rsidRPr="00000000">
        <w:rPr>
          <w:rFonts w:ascii="Times New Roman" w:cs="Times New Roman" w:eastAsia="Times New Roman" w:hAnsi="Times New Roman"/>
          <w:b w:val="1"/>
          <w:bCs w:val="1"/>
          <w:sz w:val="24"/>
          <w:szCs w:val="24"/>
          <w:rtl w:val="0"/>
        </w:rPr>
        <w:t xml:space="preserve">$2,874</w:t>
      </w:r>
      <w:r w:rsidDel="00000000" w:rsidR="00000000" w:rsidRPr="00000000">
        <w:rPr>
          <w:rFonts w:ascii="Times New Roman" w:cs="Times New Roman" w:eastAsia="Times New Roman" w:hAnsi="Times New Roman"/>
          <w:sz w:val="24"/>
          <w:szCs w:val="24"/>
          <w:rtl w:val="0"/>
        </w:rPr>
        <w:t xml:space="preserve">, or roughly </w:t>
      </w:r>
      <w:r w:rsidDel="00000000" w:rsidR="00000000" w:rsidRPr="00000000">
        <w:rPr>
          <w:rFonts w:ascii="Times New Roman" w:cs="Times New Roman" w:eastAsia="Times New Roman" w:hAnsi="Times New Roman"/>
          <w:b w:val="1"/>
          <w:bCs w:val="1"/>
          <w:sz w:val="24"/>
          <w:szCs w:val="24"/>
          <w:rtl w:val="0"/>
        </w:rPr>
        <w:t xml:space="preserve">$240 per month</w:t>
      </w:r>
      <w:r w:rsidDel="00000000" w:rsidR="00000000" w:rsidRPr="00000000">
        <w:rPr>
          <w:rFonts w:ascii="Times New Roman" w:cs="Times New Roman" w:eastAsia="Times New Roman" w:hAnsi="Times New Roman"/>
          <w:sz w:val="24"/>
          <w:szCs w:val="24"/>
          <w:rtl w:val="0"/>
        </w:rPr>
        <w:t xml:space="preserve">. This reduces the median ownership-cost proxy (monthly payment) from </w:t>
      </w:r>
      <w:r w:rsidDel="00000000" w:rsidR="00000000" w:rsidRPr="00000000">
        <w:rPr>
          <w:rFonts w:ascii="Times New Roman" w:cs="Times New Roman" w:eastAsia="Times New Roman" w:hAnsi="Times New Roman"/>
          <w:b w:val="1"/>
          <w:bCs w:val="1"/>
          <w:sz w:val="24"/>
          <w:szCs w:val="24"/>
          <w:rtl w:val="0"/>
        </w:rPr>
        <w:t xml:space="preserve">$764 to ~$524</w:t>
      </w:r>
      <w:r w:rsidDel="00000000" w:rsidR="00000000" w:rsidRPr="00000000">
        <w:rPr>
          <w:rFonts w:ascii="Times New Roman" w:cs="Times New Roman" w:eastAsia="Times New Roman" w:hAnsi="Times New Roman"/>
          <w:sz w:val="24"/>
          <w:szCs w:val="24"/>
          <w:rtl w:val="0"/>
        </w:rPr>
        <w:t xml:space="preserve">, a meaningful change for price-sensitive consumers. The total cost to SCE at current adoption levels is </w:t>
      </w:r>
      <w:r w:rsidDel="00000000" w:rsidR="00000000" w:rsidRPr="00000000">
        <w:rPr>
          <w:rFonts w:ascii="Times New Roman" w:cs="Times New Roman" w:eastAsia="Times New Roman" w:hAnsi="Times New Roman"/>
          <w:b w:val="1"/>
          <w:bCs w:val="1"/>
          <w:sz w:val="24"/>
          <w:szCs w:val="24"/>
          <w:rtl w:val="0"/>
        </w:rPr>
        <w:t xml:space="preserve">$103.32 million per year</w:t>
      </w:r>
      <w:r w:rsidDel="00000000" w:rsidR="00000000" w:rsidRPr="00000000">
        <w:rPr>
          <w:rFonts w:ascii="Times New Roman" w:cs="Times New Roman" w:eastAsia="Times New Roman" w:hAnsi="Times New Roman"/>
          <w:sz w:val="24"/>
          <w:szCs w:val="24"/>
          <w:rtl w:val="0"/>
        </w:rPr>
        <w:t xml:space="preserve">, a scalable investment depending on policy goals.</w:t>
      </w:r>
    </w:p>
    <w:p w:rsidR="00000000" w:rsidDel="00000000" w:rsidP="00000000" w:rsidRDefault="00000000" w:rsidRPr="00000000" w14:paraId="0000002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Style w:val="Heading2"/>
        <w:keepNext w:val="0"/>
        <w:keepLines w:val="0"/>
        <w:widowControl w:val="0"/>
        <w:spacing w:after="0" w:before="0" w:line="360" w:lineRule="auto"/>
        <w:jc w:val="both"/>
        <w:rPr>
          <w:rFonts w:ascii="Times New Roman" w:cs="Times New Roman" w:eastAsia="Times New Roman" w:hAnsi="Times New Roman"/>
          <w:b w:val="1"/>
          <w:bCs w:val="1"/>
          <w:sz w:val="24"/>
          <w:szCs w:val="24"/>
        </w:rPr>
      </w:pPr>
      <w:bookmarkStart w:colFirst="0" w:colLast="0" w:name="_px4gpy8bhvoi" w:id="5"/>
      <w:bookmarkEnd w:id="5"/>
      <w:r w:rsidDel="00000000" w:rsidR="00000000" w:rsidRPr="00000000">
        <w:rPr>
          <w:rFonts w:ascii="Times New Roman" w:cs="Times New Roman" w:eastAsia="Times New Roman" w:hAnsi="Times New Roman"/>
          <w:b w:val="1"/>
          <w:bCs w:val="1"/>
          <w:sz w:val="24"/>
          <w:szCs w:val="24"/>
          <w:rtl w:val="0"/>
        </w:rPr>
        <w:t xml:space="preserve">Price Elasticity of EV Demand</w:t>
      </w:r>
    </w:p>
    <w:p w:rsidR="00000000" w:rsidDel="00000000" w:rsidP="00000000" w:rsidRDefault="00000000" w:rsidRPr="00000000" w14:paraId="0000002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translate financial incentives into adoption effects, we estimate the price elasticity of EV demand using a log-log regression of the U.S. EV sales on vehicle pricing. The model achieves an R-squared of </w:t>
      </w:r>
      <w:r w:rsidDel="00000000" w:rsidR="00000000" w:rsidRPr="00000000">
        <w:rPr>
          <w:rFonts w:ascii="Times New Roman" w:cs="Times New Roman" w:eastAsia="Times New Roman" w:hAnsi="Times New Roman"/>
          <w:b w:val="1"/>
          <w:bCs w:val="1"/>
          <w:sz w:val="24"/>
          <w:szCs w:val="24"/>
          <w:rtl w:val="0"/>
        </w:rPr>
        <w:t xml:space="preserve">0.939</w:t>
      </w:r>
      <w:r w:rsidDel="00000000" w:rsidR="00000000" w:rsidRPr="00000000">
        <w:rPr>
          <w:rFonts w:ascii="Times New Roman" w:cs="Times New Roman" w:eastAsia="Times New Roman" w:hAnsi="Times New Roman"/>
          <w:sz w:val="24"/>
          <w:szCs w:val="24"/>
          <w:rtl w:val="0"/>
        </w:rPr>
        <w:t xml:space="preserve">, indicating that price explains the overwhelming majority of variation in EV sales. The estimated elasticity of </w:t>
      </w:r>
      <w:r w:rsidDel="00000000" w:rsidR="00000000" w:rsidRPr="00000000">
        <w:rPr>
          <w:rFonts w:ascii="Times New Roman" w:cs="Times New Roman" w:eastAsia="Times New Roman" w:hAnsi="Times New Roman"/>
          <w:b w:val="1"/>
          <w:bCs w:val="1"/>
          <w:sz w:val="24"/>
          <w:szCs w:val="24"/>
          <w:rtl w:val="0"/>
        </w:rPr>
        <w:t xml:space="preserve">–3.20</w:t>
      </w:r>
      <w:r w:rsidDel="00000000" w:rsidR="00000000" w:rsidRPr="00000000">
        <w:rPr>
          <w:rFonts w:ascii="Times New Roman" w:cs="Times New Roman" w:eastAsia="Times New Roman" w:hAnsi="Times New Roman"/>
          <w:sz w:val="24"/>
          <w:szCs w:val="24"/>
          <w:rtl w:val="0"/>
        </w:rPr>
        <w:t xml:space="preserve"> is both statistically significant and economically large: a 1% reduction in effective vehicle price increases sales by approximately 3.2%. The 95% confidence interval (–3.81, –2.58) further validates robustness. This high elasticity underscores that EV adoption is extremely sensitive to changes in upfront or monthly cost, and that incentives derived from smart-charging emissions savings can meaningfully accelerate market penetration.</w:t>
      </w:r>
    </w:p>
    <w:p w:rsidR="00000000" w:rsidDel="00000000" w:rsidP="00000000" w:rsidRDefault="00000000" w:rsidRPr="00000000" w14:paraId="0000002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Style w:val="Heading2"/>
        <w:keepNext w:val="0"/>
        <w:keepLines w:val="0"/>
        <w:widowControl w:val="0"/>
        <w:spacing w:after="0" w:before="0" w:line="360" w:lineRule="auto"/>
        <w:jc w:val="both"/>
        <w:rPr>
          <w:rFonts w:ascii="Times New Roman" w:cs="Times New Roman" w:eastAsia="Times New Roman" w:hAnsi="Times New Roman"/>
          <w:b w:val="1"/>
          <w:bCs w:val="1"/>
          <w:sz w:val="24"/>
          <w:szCs w:val="24"/>
        </w:rPr>
      </w:pPr>
      <w:bookmarkStart w:colFirst="0" w:colLast="0" w:name="_rcgvnpc6hgth" w:id="6"/>
      <w:bookmarkEnd w:id="6"/>
      <w:r w:rsidDel="00000000" w:rsidR="00000000" w:rsidRPr="00000000">
        <w:rPr>
          <w:rFonts w:ascii="Times New Roman" w:cs="Times New Roman" w:eastAsia="Times New Roman" w:hAnsi="Times New Roman"/>
          <w:b w:val="1"/>
          <w:bCs w:val="1"/>
          <w:sz w:val="24"/>
          <w:szCs w:val="24"/>
          <w:rtl w:val="0"/>
        </w:rPr>
        <w:t xml:space="preserve">Incentive Optimization and Adoption Lift</w:t>
      </w:r>
    </w:p>
    <w:p w:rsidR="00000000" w:rsidDel="00000000" w:rsidP="00000000" w:rsidRDefault="00000000" w:rsidRPr="00000000" w14:paraId="0000002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elasticity estimate, we evaluate the effect of passing smart-charging–generated value directly back to consumers. For each incentive level, we recompute the monthly payment, translate this into a percentage price reduction, and apply elasticity to estimate sales uplift. The optimal incentive occurs at </w:t>
      </w:r>
      <w:r w:rsidDel="00000000" w:rsidR="00000000" w:rsidRPr="00000000">
        <w:rPr>
          <w:rFonts w:ascii="Times New Roman" w:cs="Times New Roman" w:eastAsia="Times New Roman" w:hAnsi="Times New Roman"/>
          <w:b w:val="1"/>
          <w:bCs w:val="1"/>
          <w:sz w:val="24"/>
          <w:szCs w:val="24"/>
          <w:rtl w:val="0"/>
        </w:rPr>
        <w:t xml:space="preserve">$10 per lb CO₂ avoided</w:t>
      </w:r>
      <w:r w:rsidDel="00000000" w:rsidR="00000000" w:rsidRPr="00000000">
        <w:rPr>
          <w:rFonts w:ascii="Times New Roman" w:cs="Times New Roman" w:eastAsia="Times New Roman" w:hAnsi="Times New Roman"/>
          <w:sz w:val="24"/>
          <w:szCs w:val="24"/>
          <w:rtl w:val="0"/>
        </w:rPr>
        <w:t xml:space="preserve">, producing the largest predicted lift in annual sales. Under this program, the representative EV’s effective price falls to </w:t>
      </w:r>
      <w:r w:rsidDel="00000000" w:rsidR="00000000" w:rsidRPr="00000000">
        <w:rPr>
          <w:rFonts w:ascii="Times New Roman" w:cs="Times New Roman" w:eastAsia="Times New Roman" w:hAnsi="Times New Roman"/>
          <w:b w:val="1"/>
          <w:bCs w:val="1"/>
          <w:sz w:val="24"/>
          <w:szCs w:val="24"/>
          <w:rtl w:val="0"/>
        </w:rPr>
        <w:t xml:space="preserve">$57,213</w:t>
      </w:r>
      <w:r w:rsidDel="00000000" w:rsidR="00000000" w:rsidRPr="00000000">
        <w:rPr>
          <w:rFonts w:ascii="Times New Roman" w:cs="Times New Roman" w:eastAsia="Times New Roman" w:hAnsi="Times New Roman"/>
          <w:sz w:val="24"/>
          <w:szCs w:val="24"/>
          <w:rtl w:val="0"/>
        </w:rPr>
        <w:t xml:space="preserve">, and predicted annual EV sales rise from </w:t>
      </w:r>
      <w:r w:rsidDel="00000000" w:rsidR="00000000" w:rsidRPr="00000000">
        <w:rPr>
          <w:rFonts w:ascii="Times New Roman" w:cs="Times New Roman" w:eastAsia="Times New Roman" w:hAnsi="Times New Roman"/>
          <w:b w:val="1"/>
          <w:bCs w:val="1"/>
          <w:sz w:val="24"/>
          <w:szCs w:val="24"/>
          <w:rtl w:val="0"/>
        </w:rPr>
        <w:t xml:space="preserve">359.4 thousand to 365.3 thousand</w:t>
      </w:r>
      <w:r w:rsidDel="00000000" w:rsidR="00000000" w:rsidRPr="00000000">
        <w:rPr>
          <w:rFonts w:ascii="Times New Roman" w:cs="Times New Roman" w:eastAsia="Times New Roman" w:hAnsi="Times New Roman"/>
          <w:sz w:val="24"/>
          <w:szCs w:val="24"/>
          <w:rtl w:val="0"/>
        </w:rPr>
        <w:t xml:space="preserve">, an increase of </w:t>
      </w:r>
      <w:r w:rsidDel="00000000" w:rsidR="00000000" w:rsidRPr="00000000">
        <w:rPr>
          <w:rFonts w:ascii="Times New Roman" w:cs="Times New Roman" w:eastAsia="Times New Roman" w:hAnsi="Times New Roman"/>
          <w:b w:val="1"/>
          <w:bCs w:val="1"/>
          <w:sz w:val="24"/>
          <w:szCs w:val="24"/>
          <w:rtl w:val="0"/>
        </w:rPr>
        <w:t xml:space="preserve">5.8 thousand vehicles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While modest at the national scale, this increase corresponds directly to smart-charging–enabled emissions reductions and occurs without requiring any behavior change from drivers.</w:t>
      </w:r>
    </w:p>
    <w:p w:rsidR="00000000" w:rsidDel="00000000" w:rsidP="00000000" w:rsidRDefault="00000000" w:rsidRPr="00000000" w14:paraId="00000029">
      <w:pPr>
        <w:pStyle w:val="Heading2"/>
        <w:keepNext w:val="0"/>
        <w:keepLines w:val="0"/>
        <w:widowControl w:val="0"/>
        <w:spacing w:after="0" w:before="0" w:line="360" w:lineRule="auto"/>
        <w:jc w:val="both"/>
        <w:rPr>
          <w:rFonts w:ascii="Times New Roman" w:cs="Times New Roman" w:eastAsia="Times New Roman" w:hAnsi="Times New Roman"/>
          <w:b w:val="1"/>
          <w:bCs w:val="1"/>
          <w:sz w:val="24"/>
          <w:szCs w:val="24"/>
        </w:rPr>
      </w:pPr>
      <w:bookmarkStart w:colFirst="0" w:colLast="0" w:name="_619t8nejs7b5" w:id="7"/>
      <w:bookmarkEnd w:id="7"/>
      <w:r w:rsidDel="00000000" w:rsidR="00000000" w:rsidRPr="00000000">
        <w:rPr>
          <w:rtl w:val="0"/>
        </w:rPr>
      </w:r>
    </w:p>
    <w:p w:rsidR="00000000" w:rsidDel="00000000" w:rsidP="00000000" w:rsidRDefault="00000000" w:rsidRPr="00000000" w14:paraId="0000002A">
      <w:pPr>
        <w:pStyle w:val="Heading2"/>
        <w:keepNext w:val="0"/>
        <w:keepLines w:val="0"/>
        <w:widowControl w:val="0"/>
        <w:spacing w:after="0" w:before="0" w:line="360" w:lineRule="auto"/>
        <w:jc w:val="both"/>
        <w:rPr>
          <w:rFonts w:ascii="Times New Roman" w:cs="Times New Roman" w:eastAsia="Times New Roman" w:hAnsi="Times New Roman"/>
          <w:b w:val="1"/>
          <w:bCs w:val="1"/>
          <w:sz w:val="24"/>
          <w:szCs w:val="24"/>
        </w:rPr>
      </w:pPr>
      <w:bookmarkStart w:colFirst="0" w:colLast="0" w:name="_1uyoyacbdyvk" w:id="8"/>
      <w:bookmarkEnd w:id="8"/>
      <w:r w:rsidDel="00000000" w:rsidR="00000000" w:rsidRPr="00000000">
        <w:rPr>
          <w:rFonts w:ascii="Times New Roman" w:cs="Times New Roman" w:eastAsia="Times New Roman" w:hAnsi="Times New Roman"/>
          <w:b w:val="1"/>
          <w:bCs w:val="1"/>
          <w:sz w:val="24"/>
          <w:szCs w:val="24"/>
          <w:rtl w:val="0"/>
        </w:rPr>
        <w:t xml:space="preserve">Strategic Implications for SCE</w:t>
      </w:r>
    </w:p>
    <w:p w:rsidR="00000000" w:rsidDel="00000000" w:rsidP="00000000" w:rsidRDefault="00000000" w:rsidRPr="00000000" w14:paraId="0000002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 that SCE can use ML-enabled smart charging not only as a decarbonization mechanism but also as an EV-adoption accelerator. First, the XGBoost model captures nearly all feasible emissions reductions in real-world conditions, indicating that further model refinement would yield diminishing returns relative to policy integration. Second, converting these reductions directly into monetary incentives, funded through avoided emissions or regulatory credit mechanisms, produces a measurable adoption lift driven by strong price elasticity. Third, the program cost of over </w:t>
      </w:r>
      <w:r w:rsidDel="00000000" w:rsidR="00000000" w:rsidRPr="00000000">
        <w:rPr>
          <w:rFonts w:ascii="Times New Roman" w:cs="Times New Roman" w:eastAsia="Times New Roman" w:hAnsi="Times New Roman"/>
          <w:b w:val="1"/>
          <w:bCs w:val="1"/>
          <w:sz w:val="24"/>
          <w:szCs w:val="24"/>
          <w:rtl w:val="0"/>
        </w:rPr>
        <w:t xml:space="preserve">$103 million per year</w:t>
      </w:r>
      <w:r w:rsidDel="00000000" w:rsidR="00000000" w:rsidRPr="00000000">
        <w:rPr>
          <w:rFonts w:ascii="Times New Roman" w:cs="Times New Roman" w:eastAsia="Times New Roman" w:hAnsi="Times New Roman"/>
          <w:sz w:val="24"/>
          <w:szCs w:val="24"/>
          <w:rtl w:val="0"/>
        </w:rPr>
        <w:t xml:space="preserve"> aligns with utility-scale incentive budgets and could be further adjusted by lowering incentive levels, target populations, or revenue-neutral credit trading. Importantly, this approach enhances the value of grid-flexibility programs by tying environmental gains to increased EV uptake, generating a reinforcing cycle of cleaner charging and higher adoption.</w:t>
      </w:r>
    </w:p>
    <w:p w:rsidR="00000000" w:rsidDel="00000000" w:rsidP="00000000" w:rsidRDefault="00000000" w:rsidRPr="00000000" w14:paraId="0000002C">
      <w:pPr>
        <w:pStyle w:val="Heading2"/>
        <w:keepNext w:val="0"/>
        <w:keepLines w:val="0"/>
        <w:widowControl w:val="0"/>
        <w:spacing w:after="0" w:before="0" w:line="360" w:lineRule="auto"/>
        <w:jc w:val="both"/>
        <w:rPr>
          <w:rFonts w:ascii="Times New Roman" w:cs="Times New Roman" w:eastAsia="Times New Roman" w:hAnsi="Times New Roman"/>
          <w:b w:val="1"/>
          <w:bCs w:val="1"/>
          <w:sz w:val="24"/>
          <w:szCs w:val="24"/>
        </w:rPr>
      </w:pPr>
      <w:bookmarkStart w:colFirst="0" w:colLast="0" w:name="_4qwvqq3t23f2" w:id="9"/>
      <w:bookmarkEnd w:id="9"/>
      <w:r w:rsidDel="00000000" w:rsidR="00000000" w:rsidRPr="00000000">
        <w:rPr>
          <w:rtl w:val="0"/>
        </w:rPr>
      </w:r>
    </w:p>
    <w:p w:rsidR="00000000" w:rsidDel="00000000" w:rsidP="00000000" w:rsidRDefault="00000000" w:rsidRPr="00000000" w14:paraId="0000002D">
      <w:pPr>
        <w:pStyle w:val="Heading2"/>
        <w:keepNext w:val="0"/>
        <w:keepLines w:val="0"/>
        <w:widowControl w:val="0"/>
        <w:spacing w:after="0" w:before="0" w:line="360" w:lineRule="auto"/>
        <w:jc w:val="both"/>
        <w:rPr>
          <w:rFonts w:ascii="Times New Roman" w:cs="Times New Roman" w:eastAsia="Times New Roman" w:hAnsi="Times New Roman"/>
          <w:b w:val="1"/>
          <w:bCs w:val="1"/>
          <w:sz w:val="24"/>
          <w:szCs w:val="24"/>
        </w:rPr>
      </w:pPr>
      <w:bookmarkStart w:colFirst="0" w:colLast="0" w:name="_mmatobuu3roq" w:id="10"/>
      <w:bookmarkEnd w:id="10"/>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2E">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Machine-learning-enabled smart charging presents a highly scalable lever for reducing emissions and stimulating EV adoption. Our model produces nearly the maximum achievable emissions reductions with no user burden and enables a financially grounded incentive program that lowers the effective cost of EV ownership. When mapped through a high-elasticity demand curve, these incentives generate a measurable rise in EV sales while remaining financially viable for SCE. Together, these findings demonstrate how predictive modeling, grid-flexibility operations, and economic incentives can jointly accelerate transportation electrification in California.</w:t>
      </w:r>
      <w:r w:rsidDel="00000000" w:rsidR="00000000" w:rsidRPr="00000000">
        <w:rPr>
          <w:rtl w:val="0"/>
        </w:rPr>
      </w:r>
    </w:p>
    <w:sectPr>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tabs>
        <w:tab w:val="center" w:leader="none" w:pos="4680"/>
        <w:tab w:val="right" w:leader="none" w:pos="9360"/>
      </w:tabs>
      <w:spacing w:line="24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