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693D0077" w:rsidR="004F0A67" w:rsidRDefault="009B21B7" w:rsidP="009B21B7">
      <w:pPr>
        <w:jc w:val="both"/>
      </w:pPr>
      <w:r>
        <w:t>MC faza VTOL letjelice odvija se prilikom polijetanja, slijetanja te tranzcije VTOL-a. Kako bi VTOL uspješno izvršio tranziciju i postao FW odlučeno je da se prije svega MC faza VTOL-a mora dovesti i tunirati do zadovoljavajućih performansi. Također je odlučeno da će faza tranzicije početi testirati tek kada se MC faza dovede do zadovoljavajućih performansi.</w:t>
      </w:r>
    </w:p>
    <w:p w14:paraId="3F4AD5E8" w14:textId="1988C6BF" w:rsidR="00A100A8" w:rsidRDefault="007E176A" w:rsidP="009B21B7">
      <w:r>
        <w:t>Kako bi VTOL letjelica mogla letjeti trebalo je odabrati prikladan autopilot te prigodni hardware za autopilot i letjelicu. Odlučeno je da se koristi CubePIlot te konkretno CubeOrange pločica (</w:t>
      </w:r>
      <w:r w:rsidR="00343A11">
        <w:t xml:space="preserve"> </w:t>
      </w:r>
      <w:hyperlink r:id="rId5"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jednostavno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fldSimple w:instr=" SEQ Slika \* ARABIC ">
        <w:r w:rsidR="00933CA8">
          <w:rPr>
            <w:noProof/>
          </w:rPr>
          <w:t>1</w:t>
        </w:r>
      </w:fldSimple>
      <w:bookmarkEnd w:id="0"/>
      <w:r>
        <w:t>: CubeOrange pločica</w:t>
      </w:r>
    </w:p>
    <w:p w14:paraId="46616EAB" w14:textId="6C4877F1" w:rsidR="009B21B7" w:rsidRDefault="009B21B7" w:rsidP="009B21B7">
      <w:r>
        <w:t>Konfiguracija za VTOL letjelicu već postoji u sklopu PX4 autopilota (</w:t>
      </w:r>
      <w:hyperlink r:id="rId9"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(13006)</w:t>
      </w:r>
      <w:r>
        <w:rPr>
          <w:rFonts w:ascii="Open Sans" w:hAnsi="Open Sans" w:cs="Open Sans"/>
          <w:color w:val="222222"/>
          <w:sz w:val="17"/>
          <w:szCs w:val="17"/>
          <w:shd w:val="clear" w:color="auto" w:fill="FFFFFF"/>
        </w:rPr>
        <w:t xml:space="preserve">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 te njihove oznake, te aktuari koji još služe za upravljanje VTOL-om (aileroni</w:t>
      </w:r>
      <w:r w:rsidR="00F8166B">
        <w:t xml:space="preserve">, elevatori, rudder te pogosnki peti motor). Popis portova kako se trebaju spojiti svi aktutori nalaze se na: </w:t>
      </w:r>
      <w:hyperlink r:id="rId10"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fldSimple w:instr=" SEQ Slika \* ARABIC ">
        <w:r w:rsidR="00933CA8">
          <w:rPr>
            <w:noProof/>
          </w:rPr>
          <w:t>2</w:t>
        </w:r>
      </w:fldSimple>
      <w:bookmarkEnd w:id="1"/>
      <w:r>
        <w:t>: Airframe generic</w:t>
      </w:r>
      <w:r w:rsidR="00AF59EB">
        <w:t xml:space="preserve"> delta</w:t>
      </w:r>
      <w:r>
        <w:t xml:space="preserve"> VTOL</w:t>
      </w:r>
    </w:p>
    <w:p w14:paraId="348A4369" w14:textId="6B7320F1"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realse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6D08057A" w:rsidR="00551475" w:rsidRDefault="00134B6E" w:rsidP="009B21B7">
      <w:r>
        <w:t>VTOL konfiguracija sadrži parametre od MC i FW letjelica. Kako je VTOL letjelica već obavila nekoliko letova u FW načinu upravljanja (gdje je doslovno poletila i sletila kao avion) odlučeno je odmah podesiti fw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Paremtri se upisuju pomoću QGroundControl-a</w:t>
      </w:r>
      <w:r w:rsidR="00D20B5E">
        <w:t>.</w:t>
      </w:r>
      <w:r w:rsidR="003D12C2">
        <w:t xml:space="preserve"> Potrebno je spojiti CubeOrange pločicu na laptop koji ima instalirani QgroundControl te pričekati da Qground prepozna pločicu. Zatim se u gornjem desnom uglu odabire Qground izbornik te zatim u novootvorenom prozoru odabiru se </w:t>
      </w:r>
      <w:r w:rsidR="000238C6">
        <w:t>Vehicle settings te zatim u izborniku s lijeve strane odabiru se Parameters</w:t>
      </w:r>
      <w:r w:rsidR="003D12C2">
        <w:t xml:space="preserve"> gdje se može pomoću searcha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fldSimple w:instr=" SEQ Tablica \* ARABIC ">
        <w:r>
          <w:rPr>
            <w:noProof/>
          </w:rPr>
          <w:t>1</w:t>
        </w:r>
      </w:fldSimple>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lastRenderedPageBreak/>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09245B94" w:rsidR="00F12345" w:rsidRDefault="00F12345" w:rsidP="00551475">
            <w:r>
              <w:t>Minalna brzin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7DDC5523" w:rsidR="00F12345" w:rsidRDefault="00F12345" w:rsidP="00551475">
            <w:r>
              <w:t xml:space="preserve">Odnosno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09255121" w:rsidR="00F12345" w:rsidRDefault="002143A8" w:rsidP="00551475">
            <w:r>
              <w:t>Vremenska konstatnt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38A7575E" w:rsidR="002143A8" w:rsidRDefault="002143A8" w:rsidP="00551475">
            <w:r>
              <w:t>Pojašanje integratora za kotač</w:t>
            </w:r>
          </w:p>
        </w:tc>
      </w:tr>
    </w:tbl>
    <w:p w14:paraId="6E6E7714" w14:textId="3A71D880" w:rsidR="00551475" w:rsidRDefault="00551475" w:rsidP="009B21B7"/>
    <w:p w14:paraId="3C8B80F0" w14:textId="26E7F723" w:rsidR="00D20B5E" w:rsidRDefault="000238C6" w:rsidP="009B21B7">
      <w:r>
        <w:t xml:space="preserve">Prije početka leta letjelica se mora kalibrirati tj moraju se kalibrirati njeni senzori. Senzori se kalibriraju prema uputstvima unutar QG Controla. Nakon što se spoji pločica sa QG Controlom odabire se QG izbornik te zatim Vehicle settings te zatim Sensors. Svi senzori koji su označeni crvenom bojom (slova su obojana u crveno) moraju se kalibrirati prema uputstvima koje daje QG Control. </w:t>
      </w:r>
    </w:p>
    <w:p w14:paraId="38F7A4A0" w14:textId="13BCBCFD" w:rsidR="009C3F2F" w:rsidRDefault="009C3F2F" w:rsidP="009B21B7">
      <w:r>
        <w:t xml:space="preserve">Nakon što se letjelica kalibrira mora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fldChar w:fldCharType="separate"/>
      </w:r>
      <w:r>
        <w:fldChar w:fldCharType="end"/>
      </w:r>
      <w:r>
        <w:t>.</w:t>
      </w:r>
      <w:r w:rsidR="00852573">
        <w:t xml:space="preserve"> Kako bi se moglo upravljati letjelicom moraju se pomoću QG Control 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58"/>
      <w:bookmarkStart w:id="4" w:name="_Ref103605176"/>
      <w:r>
        <w:t xml:space="preserve">Slika </w:t>
      </w:r>
      <w:fldSimple w:instr=" SEQ Slika \* ARABIC ">
        <w:r w:rsidR="00933CA8">
          <w:rPr>
            <w:noProof/>
          </w:rPr>
          <w:t>3</w:t>
        </w:r>
      </w:fldSimple>
      <w:bookmarkEnd w:id="4"/>
      <w:r>
        <w:t>: Jeti upravljačka stanica</w:t>
      </w:r>
      <w:bookmarkEnd w:id="3"/>
    </w:p>
    <w:p w14:paraId="3263CBE2" w14:textId="77777777" w:rsidR="004313E2" w:rsidRDefault="004313E2" w:rsidP="00852573">
      <w:r>
        <w:lastRenderedPageBreak/>
        <w:t>Osim komandi na jeti se treba odrediti koji je prekidač kill switch, odnosno prekidač koji uklapanjem isključuje letjelicu neovisno jel ona u zraku ili na zemlji. Kill switch je potreban kao sigurnosni mehanizam za slučaj da se letjelica počinje ponašati nestabilno ili onako kako nije sigurno.</w:t>
      </w:r>
    </w:p>
    <w:p w14:paraId="41F1FF92" w14:textId="7132513F"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TI flight modeovi dijele se na MC i FW flight modeove te isti onda postoje i u VTOL konfiguraciji jer se VTOL sastoji od MC i FW dijela. </w:t>
      </w:r>
    </w:p>
    <w:p w14:paraId="04E5981E" w14:textId="0FBC1E91" w:rsidR="004313E2" w:rsidRDefault="004313E2" w:rsidP="00852573">
      <w:r>
        <w:t xml:space="preserve">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43BDEAA8" w:rsidR="00261DEB" w:rsidRDefault="00261DEB" w:rsidP="00261DEB">
      <w:r>
        <w:t>Ova dva modea su korištena jer se pomoću njih mogu tunirati PID regulatori koji se programatski nalaze u letjelici.</w:t>
      </w:r>
    </w:p>
    <w:p w14:paraId="67DFFD1B" w14:textId="4E05A9CE" w:rsidR="00261DEB" w:rsidRDefault="00261DEB" w:rsidP="00261DEB">
      <w:r>
        <w:t>MC mode koristi se isključivo za polijetanje i slijetanje te prilikom tranzicije u FW mode odnosno prilikom povratka iz FW modea prem MC-u</w:t>
      </w:r>
      <w:r w:rsidR="0063461E">
        <w:t xml:space="preserve">. Zbog toga za MC mode bitno je podesiti PID regulatore kako bi imali željeni odziv za polijetanje i slijetanje da MC bude stabilan prilikom podizanja i spuštanja. Osim toga bitnije je podesiti PID regulatore tako da u MC dijelu oni eliminiraju razne poremećaju u radnoj točki (primjerice nalet vjetra). VTOL konfiguracija nije zamišljena da se kreće u MC modeu što znači da se PID regulatori ne tuniraju za kretanje MC (tj za promjene reference brzine i pozicije) nego za eliminaciju vanjskih smetnji dok se podiže, spušta ili hovera na mjestu. </w:t>
      </w:r>
    </w:p>
    <w:p w14:paraId="4A503234" w14:textId="178A87D0" w:rsidR="00E10C7D" w:rsidRDefault="003063F2" w:rsidP="00261DEB">
      <w:r>
        <w:t xml:space="preserve">Testiranje MC dijela VTOL letjelice svodilo se na tuniranje programatski napravljenih PID regulatora unutar VTOL airframea u PX4. U početku tuniranje VTOL-a provodilo se bez montiranih krila, ankon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49DA32A2" w:rsidR="00FF28EF" w:rsidRDefault="00FF28EF" w:rsidP="00261DEB">
      <w:r>
        <w:t xml:space="preserve">Proces tuniranja PID regulatora za MC dio VTOL-a proveden pomoću PX4 uputa koje se nalaze na: </w:t>
      </w:r>
      <w:hyperlink r:id="rId16" w:history="1">
        <w:r w:rsidRPr="00D23EA9">
          <w:rPr>
            <w:rStyle w:val="Hyperlink"/>
          </w:rPr>
          <w:t>https://docs.px4.io/master/en/config_mc/</w:t>
        </w:r>
      </w:hyperlink>
      <w:r>
        <w:t xml:space="preserve"> . </w:t>
      </w:r>
      <w:r w:rsidR="00D716CA">
        <w:t>Prvo se krenulo s tuniranjem pomoću basic tutoriala (</w:t>
      </w:r>
      <w:hyperlink r:id="rId17" w:history="1">
        <w:r w:rsidR="00D716CA" w:rsidRPr="00D23EA9">
          <w:rPr>
            <w:rStyle w:val="Hyperlink"/>
          </w:rPr>
          <w:t>https://docs.px4.io/master/en/config_mc/pid_tuning_guide_multicopter_basic.html</w:t>
        </w:r>
      </w:hyperlink>
      <w:r w:rsidR="00D716CA">
        <w:t xml:space="preserve"> ) te zatim pomoću advanced tutoriala ( </w:t>
      </w:r>
      <w:hyperlink r:id="rId18" w:history="1">
        <w:r w:rsidR="00D716CA" w:rsidRPr="00D23EA9">
          <w:rPr>
            <w:rStyle w:val="Hyperlink"/>
          </w:rPr>
          <w:t>https://docs.px4.io/master/en/config_mc/pid_tuning_guide_multicopter.html</w:t>
        </w:r>
      </w:hyperlink>
      <w:r w:rsidR="00D716CA">
        <w:t xml:space="preserve"> ). </w:t>
      </w:r>
      <w:r w:rsidR="00933CA8">
        <w:t xml:space="preserve">Upravljački dijagram je kaskadni te se njagova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 xml:space="preserve">Sustav upravljanja te PID regulatora njihov odnos raspored i međuovisnost detaljno u opisani na: </w:t>
      </w:r>
      <w:hyperlink r:id="rId19"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lastRenderedPageBreak/>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fldSimple w:instr=" SEQ Slika \* ARABIC ">
        <w:r>
          <w:rPr>
            <w:noProof/>
          </w:rPr>
          <w:t>4</w:t>
        </w:r>
      </w:fldSimple>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77777777" w:rsidR="00BC5F01" w:rsidRPr="00BC5F01" w:rsidRDefault="00BC5F01" w:rsidP="00544EAE"/>
    <w:sectPr w:rsidR="00BC5F01" w:rsidRPr="00BC5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238C6"/>
    <w:rsid w:val="000541CE"/>
    <w:rsid w:val="0007608D"/>
    <w:rsid w:val="00134B6E"/>
    <w:rsid w:val="001E6D5E"/>
    <w:rsid w:val="002143A8"/>
    <w:rsid w:val="00261DEB"/>
    <w:rsid w:val="003063F2"/>
    <w:rsid w:val="00343A11"/>
    <w:rsid w:val="003D12C2"/>
    <w:rsid w:val="003E6639"/>
    <w:rsid w:val="00414241"/>
    <w:rsid w:val="004275B1"/>
    <w:rsid w:val="004313E2"/>
    <w:rsid w:val="004F0A67"/>
    <w:rsid w:val="00520CAF"/>
    <w:rsid w:val="00544EAE"/>
    <w:rsid w:val="00551475"/>
    <w:rsid w:val="0063461E"/>
    <w:rsid w:val="007D1807"/>
    <w:rsid w:val="007E176A"/>
    <w:rsid w:val="00852573"/>
    <w:rsid w:val="0086375A"/>
    <w:rsid w:val="008B4719"/>
    <w:rsid w:val="008D78C0"/>
    <w:rsid w:val="00933CA8"/>
    <w:rsid w:val="009B21B7"/>
    <w:rsid w:val="009C3F2F"/>
    <w:rsid w:val="00A100A8"/>
    <w:rsid w:val="00AA6E21"/>
    <w:rsid w:val="00AB0299"/>
    <w:rsid w:val="00AF59EB"/>
    <w:rsid w:val="00BC5F01"/>
    <w:rsid w:val="00CA0BA3"/>
    <w:rsid w:val="00D20B5E"/>
    <w:rsid w:val="00D716CA"/>
    <w:rsid w:val="00D72590"/>
    <w:rsid w:val="00E10C7D"/>
    <w:rsid w:val="00E8474C"/>
    <w:rsid w:val="00EF2C0E"/>
    <w:rsid w:val="00F12345"/>
    <w:rsid w:val="00F8166B"/>
    <w:rsid w:val="00F832D6"/>
    <w:rsid w:val="00FC09A9"/>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pid_tuning_guide_multicopter_basic.html" TargetMode="External"/><Relationship Id="rId2" Type="http://schemas.openxmlformats.org/officeDocument/2006/relationships/styles" Target="styles.xml"/><Relationship Id="rId16" Type="http://schemas.openxmlformats.org/officeDocument/2006/relationships/hyperlink" Target="https://docs.px4.io/master/en/config_mc/" TargetMode="External"/><Relationship Id="rId20"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5" Type="http://schemas.openxmlformats.org/officeDocument/2006/relationships/hyperlink" Target="https://www.cubepilot.com/#/home" TargetMode="External"/><Relationship Id="rId15" Type="http://schemas.openxmlformats.org/officeDocument/2006/relationships/hyperlink" Target="https://docs.px4.io/v1.12/en/flight_modes/" TargetMode="External"/><Relationship Id="rId10" Type="http://schemas.openxmlformats.org/officeDocument/2006/relationships/hyperlink" Target="https://docs.px4.io/v1.12/en/airframes/airframe_reference.html#vtol" TargetMode="External"/><Relationship Id="rId19" Type="http://schemas.openxmlformats.org/officeDocument/2006/relationships/hyperlink" Target="https://docs.px4.io/master/en/flight_stack/controller_diagrams.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vtol"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36</cp:revision>
  <dcterms:created xsi:type="dcterms:W3CDTF">2022-05-16T06:52:00Z</dcterms:created>
  <dcterms:modified xsi:type="dcterms:W3CDTF">2022-05-16T14:05:00Z</dcterms:modified>
</cp:coreProperties>
</file>