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NOT FINISHED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Matthew Jones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Alex Tol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CRISPR: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 this exercise, we are going to extent the work you completed for Module 3 Week 10 Homework.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This time, we are going to run WU-CRISPR a second time, but with the first option.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Go to http://crispr.wustl.edu/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Choose “Option 1: Search for predesigned gRNA to target human or mouse genes:” and type “HBB” in the search window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Click on “Go”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Inspect the results obtained from running WU-CRISPR and answer the following questions.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1) How many gRNA’s are reported by WU-CRISPR this time? 4.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2) Why do think there is a (big) difference between the number of reported gRNA when using different options?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Click on “Details” of the second hit (with a Potency Score of 90)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3) Explain in your own words the “Off-Target Analysis”.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Analysis observing whether or not the base pair template used by the protein would result in off target error.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B) Detecting gRNAs in Human HBB with CHOPCHOP: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• Go to http://chopchop.cbu.uib.no/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• Type HBB in the “Target” window and keep the default species and PAM in the other two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windows: “In” and “Using”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• Click on “Find Target Sites!”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• Inspect the results obtained from running CHOPCHOP and answer the following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4) How many gRNA’s are reported by CHOPCHOP? 92.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Consider the gRNA with “Ranking” value of 7.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5) What is the PAM sequence of that gRNA? AGG.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6) How many off-target hits does this gRNA have? 7.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• Click on the row of gRNA with ranking 7 to go to a new page with more information on the off-target sequences.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• Examine the table that reports the off-targets and answer the following question: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7) Compare these off-target hits with those reported by WU-CRISPR.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WU-CRISPR reported 4 while CHOPCHOP reported 7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C) Detecting gRNAs in Human HBB with GPP: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• Go to https://portals.broadinstitute.org/gpp/public/analysis-tools/sgrna-design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• Select “human” from the “Select Target Taxon”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• Type HBB in the input window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• Check the “I’m not a robot” box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• Click on “Submit”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• Since the two output files, reported under “Download Results” are “tab-delimited text files, click on “sgRNA Picking Results” and save it in an excel spreadsheet that you name “sgRNA_Picking_Results_HBB.xls”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8) How many gRNA’s are reported by GPP? 79.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