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line="480"/>
        <w:jc w:val="center"/>
      </w:pPr>
      <w:r>
        <w:rPr>
          <w:rFonts w:ascii="Calibri" w:eastAsia="SimHei"/>
          <w:b/>
          <w:bCs/>
          <w:color w:val="0C1F1A"/>
          <w:sz w:val="40"/>
          <w:szCs w:val="40"/>
        </w:rPr>
        <w:t xml:space="preserve">Climate Tech Catalyst – Vietnam and Beyond</w:t>
      </w:r>
    </w:p>
    <w:p>
      <w:pPr>
        <w:spacing w:after="100" w:before="0" w:line="400"/>
        <w:jc w:val="center"/>
      </w:pPr>
      <w:r>
        <w:rPr>
          <w:rFonts w:ascii="Calibri" w:eastAsia="Microsoft YaHei"/>
          <w:color w:val="2A7A65"/>
          <w:sz w:val="28"/>
          <w:szCs w:val="28"/>
        </w:rPr>
        <w:t xml:space="preserve">Application Response Draft</w:t>
      </w:r>
    </w:p>
    <w:p>
      <w:pPr>
        <w:spacing w:after="400" w:before="0" w:line="312"/>
        <w:jc w:val="center"/>
      </w:pPr>
      <w:r>
        <w:rPr>
          <w:rFonts w:ascii="Calibri" w:eastAsia="Microsoft YaHei"/>
          <w:i/>
          <w:iCs/>
          <w:color w:val="507060"/>
          <w:sz w:val="22"/>
          <w:szCs w:val="22"/>
        </w:rPr>
        <w:t xml:space="preserve">TerraBrew Coffee | EUDR Compliance Infrastructure for the Coffee Supply Chain</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Quick Reference: Multiple-Choice Selections</w:t>
      </w:r>
    </w:p>
    <w:p>
      <w:pPr>
        <w:spacing w:after="120" w:before="80" w:line="312"/>
        <w:ind w:firstLine="0"/>
        <w:jc w:val="both"/>
      </w:pPr>
      <w:r>
        <w:rPr>
          <w:rFonts w:ascii="Calibri" w:eastAsia="Microsoft YaHei"/>
          <w:color w:val="1A2B20"/>
          <w:sz w:val="22"/>
          <w:szCs w:val="22"/>
        </w:rPr>
        <w:t xml:space="preserve">Use this table to quickly fill in all checkbox/radio selections on the application form.</w:t>
      </w:r>
    </w:p>
    <w:tbl>
      <w:tblPr>
        <w:tblW w:type="pct" w:w="100%"/>
        <w:tblBorders>
          <w:top w:val="single" w:color="2A7A65" w:sz="2"/>
          <w:left w:val="none"/>
          <w:bottom w:val="single" w:color="2A7A65" w:sz="2"/>
          <w:right w:val="none"/>
          <w:insideH w:val="single" w:color="C5D8D0" w:sz="1"/>
          <w:insideV w:val="single" w:color="C5D8D0" w:sz="1"/>
        </w:tblBorders>
      </w:tblPr>
      <w:tblGrid>
        <w:gridCol w:w="100"/>
        <w:gridCol w:w="100"/>
        <w:gridCol w:w="100"/>
        <w:gridCol w:w="100"/>
      </w:tblGrid>
      <w:tr>
        <w:trPr>
          <w:cantSplit/>
          <w:tblHeader/>
        </w:trPr>
        <w:tc>
          <w:tcPr>
            <w:tcW w:type="pct" w:w="30%"/>
            <w:shd w:fill="2A7A65" w:val="clear"/>
            <w:tcMar>
              <w:top w:type="dxa" w:w="60"/>
              <w:left w:type="dxa" w:w="120"/>
              <w:bottom w:type="dxa" w:w="60"/>
              <w:right w:type="dxa" w:w="120"/>
            </w:tcMar>
          </w:tcPr>
          <w:p>
            <w:r>
              <w:rPr>
                <w:rFonts w:ascii="Calibri"/>
                <w:b/>
                <w:bCs/>
                <w:color w:val="FFFFFF"/>
                <w:sz w:val="20"/>
                <w:szCs w:val="20"/>
              </w:rPr>
              <w:t xml:space="preserve">Section</w:t>
            </w:r>
          </w:p>
        </w:tc>
        <w:tc>
          <w:tcPr>
            <w:tcW w:type="pct" w:w="25%"/>
            <w:shd w:fill="2A7A65" w:val="clear"/>
            <w:tcMar>
              <w:top w:type="dxa" w:w="60"/>
              <w:left w:type="dxa" w:w="120"/>
              <w:bottom w:type="dxa" w:w="60"/>
              <w:right w:type="dxa" w:w="120"/>
            </w:tcMar>
          </w:tcPr>
          <w:p>
            <w:r>
              <w:rPr>
                <w:rFonts w:ascii="Calibri"/>
                <w:b/>
                <w:bCs/>
                <w:color w:val="FFFFFF"/>
                <w:sz w:val="20"/>
                <w:szCs w:val="20"/>
              </w:rPr>
              <w:t xml:space="preserve">Field</w:t>
            </w:r>
          </w:p>
        </w:tc>
        <w:tc>
          <w:tcPr>
            <w:tcW w:type="pct" w:w="20%"/>
            <w:shd w:fill="2A7A65" w:val="clear"/>
            <w:tcMar>
              <w:top w:type="dxa" w:w="60"/>
              <w:left w:type="dxa" w:w="120"/>
              <w:bottom w:type="dxa" w:w="60"/>
              <w:right w:type="dxa" w:w="120"/>
            </w:tcMar>
          </w:tcPr>
          <w:p>
            <w:r>
              <w:rPr>
                <w:rFonts w:ascii="Calibri"/>
                <w:b/>
                <w:bCs/>
                <w:color w:val="FFFFFF"/>
                <w:sz w:val="20"/>
                <w:szCs w:val="20"/>
              </w:rPr>
              <w:t xml:space="preserve">Selection</w:t>
            </w:r>
          </w:p>
        </w:tc>
        <w:tc>
          <w:tcPr>
            <w:tcW w:type="pct" w:w="25%"/>
            <w:shd w:fill="2A7A65" w:val="clear"/>
            <w:tcMar>
              <w:top w:type="dxa" w:w="60"/>
              <w:left w:type="dxa" w:w="120"/>
              <w:bottom w:type="dxa" w:w="60"/>
              <w:right w:type="dxa" w:w="120"/>
            </w:tcMar>
          </w:tcPr>
          <w:p>
            <w:r>
              <w:rPr>
                <w:rFonts w:ascii="Calibri"/>
                <w:b/>
                <w:bCs/>
                <w:color w:val="FFFFFF"/>
                <w:sz w:val="20"/>
                <w:szCs w:val="20"/>
              </w:rPr>
              <w:t xml:space="preserve">Notes</w:t>
            </w:r>
          </w:p>
        </w:tc>
      </w:tr>
      <w:tr>
        <w:trPr>
          <w:cantSplit/>
        </w:trPr>
        <w:tc>
          <w:tcPr>
            <w:shd w:fill="EDF5F2" w:val="clear"/>
            <w:tcMar>
              <w:top w:type="dxa" w:w="50"/>
              <w:left w:type="dxa" w:w="120"/>
              <w:bottom w:type="dxa" w:w="50"/>
              <w:right w:type="dxa" w:w="120"/>
            </w:tcMar>
          </w:tcPr>
          <w:p>
            <w:r>
              <w:rPr>
                <w:rFonts w:ascii="Calibri"/>
                <w:color w:val="1A2B20"/>
                <w:sz w:val="19"/>
                <w:szCs w:val="19"/>
              </w:rPr>
              <w:t xml:space="preserve">3. Business Model</w:t>
            </w:r>
          </w:p>
        </w:tc>
        <w:tc>
          <w:tcPr>
            <w:shd w:fill="EDF5F2" w:val="clear"/>
            <w:tcMar>
              <w:top w:type="dxa" w:w="50"/>
              <w:left w:type="dxa" w:w="120"/>
              <w:bottom w:type="dxa" w:w="50"/>
              <w:right w:type="dxa" w:w="120"/>
            </w:tcMar>
          </w:tcPr>
          <w:p>
            <w:r>
              <w:rPr>
                <w:rFonts w:ascii="Calibri"/>
                <w:color w:val="1A2B20"/>
                <w:sz w:val="19"/>
                <w:szCs w:val="19"/>
              </w:rPr>
              <w:t xml:space="preserve">Type</w:t>
            </w:r>
          </w:p>
        </w:tc>
        <w:tc>
          <w:tcPr>
            <w:shd w:fill="EDF5F2" w:val="clear"/>
            <w:tcMar>
              <w:top w:type="dxa" w:w="50"/>
              <w:left w:type="dxa" w:w="120"/>
              <w:bottom w:type="dxa" w:w="50"/>
              <w:right w:type="dxa" w:w="120"/>
            </w:tcMar>
          </w:tcPr>
          <w:p>
            <w:r>
              <w:rPr>
                <w:rFonts w:ascii="Calibri"/>
                <w:color w:val="1A2B20"/>
                <w:sz w:val="19"/>
                <w:szCs w:val="19"/>
              </w:rPr>
              <w:t xml:space="preserve">B2B + B2G</w:t>
            </w:r>
          </w:p>
        </w:tc>
        <w:tc>
          <w:tcPr>
            <w:shd w:fill="EDF5F2" w:val="clear"/>
            <w:tcMar>
              <w:top w:type="dxa" w:w="50"/>
              <w:left w:type="dxa" w:w="120"/>
              <w:bottom w:type="dxa" w:w="50"/>
              <w:right w:type="dxa" w:w="120"/>
            </w:tcMar>
          </w:tcPr>
          <w:p>
            <w:r>
              <w:rPr>
                <w:rFonts w:ascii="Calibri"/>
                <w:color w:val="1A2B20"/>
                <w:sz w:val="19"/>
                <w:szCs w:val="19"/>
              </w:rPr>
              <w:t xml:space="preserve">Core is B2B SaaS; B2G for govt compliance</w:t>
            </w:r>
          </w:p>
        </w:tc>
      </w:tr>
      <w:tr>
        <w:trPr>
          <w:cantSplit/>
        </w:trPr>
        <w:tc>
          <w:tcPr>
            <w:shd w:fill="FFFFFF" w:val="clear"/>
            <w:tcMar>
              <w:top w:type="dxa" w:w="50"/>
              <w:left w:type="dxa" w:w="120"/>
              <w:bottom w:type="dxa" w:w="50"/>
              <w:right w:type="dxa" w:w="120"/>
            </w:tcMar>
          </w:tcPr>
          <w:p>
            <w:r>
              <w:rPr>
                <w:rFonts w:ascii="Calibri"/>
                <w:color w:val="1A2B20"/>
                <w:sz w:val="19"/>
                <w:szCs w:val="19"/>
              </w:rPr>
              <w:t xml:space="preserve">4. Revenue Status</w:t>
            </w:r>
          </w:p>
        </w:tc>
        <w:tc>
          <w:tcPr>
            <w:shd w:fill="FFFFFF" w:val="clear"/>
            <w:tcMar>
              <w:top w:type="dxa" w:w="50"/>
              <w:left w:type="dxa" w:w="120"/>
              <w:bottom w:type="dxa" w:w="50"/>
              <w:right w:type="dxa" w:w="120"/>
            </w:tcMar>
          </w:tcPr>
          <w:p>
            <w:r>
              <w:rPr>
                <w:rFonts w:ascii="Calibri"/>
                <w:color w:val="1A2B20"/>
                <w:sz w:val="19"/>
                <w:szCs w:val="19"/>
              </w:rPr>
              <w:t xml:space="preserve">Level</w:t>
            </w:r>
          </w:p>
        </w:tc>
        <w:tc>
          <w:tcPr>
            <w:shd w:fill="FFFFFF" w:val="clear"/>
            <w:tcMar>
              <w:top w:type="dxa" w:w="50"/>
              <w:left w:type="dxa" w:w="120"/>
              <w:bottom w:type="dxa" w:w="50"/>
              <w:right w:type="dxa" w:w="120"/>
            </w:tcMar>
          </w:tcPr>
          <w:p>
            <w:r>
              <w:rPr>
                <w:rFonts w:ascii="Calibri"/>
                <w:color w:val="1A2B20"/>
                <w:sz w:val="19"/>
                <w:szCs w:val="19"/>
              </w:rPr>
              <w:t xml:space="preserve">Pre-revenue</w:t>
            </w:r>
          </w:p>
        </w:tc>
        <w:tc>
          <w:tcPr>
            <w:shd w:fill="FFFFFF" w:val="clear"/>
            <w:tcMar>
              <w:top w:type="dxa" w:w="50"/>
              <w:left w:type="dxa" w:w="120"/>
              <w:bottom w:type="dxa" w:w="50"/>
              <w:right w:type="dxa" w:w="120"/>
            </w:tcMar>
          </w:tcPr>
          <w:p>
            <w:r>
              <w:rPr>
                <w:rFonts w:ascii="Calibri"/>
                <w:color w:val="1A2B20"/>
                <w:sz w:val="19"/>
                <w:szCs w:val="19"/>
              </w:rPr>
              <w:t xml:space="preserve">Product in pilot; no paying customers yet</w:t>
            </w:r>
          </w:p>
        </w:tc>
      </w:tr>
      <w:tr>
        <w:trPr>
          <w:cantSplit/>
        </w:trPr>
        <w:tc>
          <w:tcPr>
            <w:shd w:fill="EDF5F2" w:val="clear"/>
            <w:tcMar>
              <w:top w:type="dxa" w:w="50"/>
              <w:left w:type="dxa" w:w="120"/>
              <w:bottom w:type="dxa" w:w="50"/>
              <w:right w:type="dxa" w:w="120"/>
            </w:tcMar>
          </w:tcPr>
          <w:p>
            <w:r>
              <w:rPr>
                <w:rFonts w:ascii="Calibri"/>
                <w:color w:val="1A2B20"/>
                <w:sz w:val="19"/>
                <w:szCs w:val="19"/>
              </w:rPr>
              <w:t xml:space="preserve">4. Stage</w:t>
            </w:r>
          </w:p>
        </w:tc>
        <w:tc>
          <w:tcPr>
            <w:shd w:fill="EDF5F2" w:val="clear"/>
            <w:tcMar>
              <w:top w:type="dxa" w:w="50"/>
              <w:left w:type="dxa" w:w="120"/>
              <w:bottom w:type="dxa" w:w="50"/>
              <w:right w:type="dxa" w:w="120"/>
            </w:tcMar>
          </w:tcPr>
          <w:p>
            <w:r>
              <w:rPr>
                <w:rFonts w:ascii="Calibri"/>
                <w:color w:val="1A2B20"/>
                <w:sz w:val="19"/>
                <w:szCs w:val="19"/>
              </w:rPr>
              <w:t xml:space="preserve">Development</w:t>
            </w:r>
          </w:p>
        </w:tc>
        <w:tc>
          <w:tcPr>
            <w:shd w:fill="EDF5F2" w:val="clear"/>
            <w:tcMar>
              <w:top w:type="dxa" w:w="50"/>
              <w:left w:type="dxa" w:w="120"/>
              <w:bottom w:type="dxa" w:w="50"/>
              <w:right w:type="dxa" w:w="120"/>
            </w:tcMar>
          </w:tcPr>
          <w:p>
            <w:r>
              <w:rPr>
                <w:rFonts w:ascii="Calibri"/>
                <w:color w:val="1A2B20"/>
                <w:sz w:val="19"/>
                <w:szCs w:val="19"/>
              </w:rPr>
              <w:t xml:space="preserve">Pilot / Proof of Concept</w:t>
            </w:r>
          </w:p>
        </w:tc>
        <w:tc>
          <w:tcPr>
            <w:shd w:fill="EDF5F2" w:val="clear"/>
            <w:tcMar>
              <w:top w:type="dxa" w:w="50"/>
              <w:left w:type="dxa" w:w="120"/>
              <w:bottom w:type="dxa" w:w="50"/>
              <w:right w:type="dxa" w:w="120"/>
            </w:tcMar>
          </w:tcPr>
          <w:p>
            <w:r>
              <w:rPr>
                <w:rFonts w:ascii="Calibri"/>
                <w:color w:val="1A2B20"/>
                <w:sz w:val="19"/>
                <w:szCs w:val="19"/>
              </w:rPr>
              <w:t xml:space="preserve">Tested with named partners in 4 countries</w:t>
            </w:r>
          </w:p>
        </w:tc>
      </w:tr>
      <w:tr>
        <w:trPr>
          <w:cantSplit/>
        </w:trPr>
        <w:tc>
          <w:tcPr>
            <w:shd w:fill="FFFFFF" w:val="clear"/>
            <w:tcMar>
              <w:top w:type="dxa" w:w="50"/>
              <w:left w:type="dxa" w:w="120"/>
              <w:bottom w:type="dxa" w:w="50"/>
              <w:right w:type="dxa" w:w="120"/>
            </w:tcMar>
          </w:tcPr>
          <w:p>
            <w:r>
              <w:rPr>
                <w:rFonts w:ascii="Calibri"/>
                <w:color w:val="1A2B20"/>
                <w:sz w:val="19"/>
                <w:szCs w:val="19"/>
              </w:rPr>
              <w:t xml:space="preserve">5. Impact Measurement</w:t>
            </w:r>
          </w:p>
        </w:tc>
        <w:tc>
          <w:tcPr>
            <w:shd w:fill="FFFFFF" w:val="clear"/>
            <w:tcMar>
              <w:top w:type="dxa" w:w="50"/>
              <w:left w:type="dxa" w:w="120"/>
              <w:bottom w:type="dxa" w:w="50"/>
              <w:right w:type="dxa" w:w="120"/>
            </w:tcMar>
          </w:tcPr>
          <w:p>
            <w:r>
              <w:rPr>
                <w:rFonts w:ascii="Calibri"/>
                <w:color w:val="1A2B20"/>
                <w:sz w:val="19"/>
                <w:szCs w:val="19"/>
              </w:rPr>
              <w:t xml:space="preserve">Method</w:t>
            </w:r>
          </w:p>
        </w:tc>
        <w:tc>
          <w:tcPr>
            <w:shd w:fill="FFFFFF" w:val="clear"/>
            <w:tcMar>
              <w:top w:type="dxa" w:w="50"/>
              <w:left w:type="dxa" w:w="120"/>
              <w:bottom w:type="dxa" w:w="50"/>
              <w:right w:type="dxa" w:w="120"/>
            </w:tcMar>
          </w:tcPr>
          <w:p>
            <w:r>
              <w:rPr>
                <w:rFonts w:ascii="Calibri"/>
                <w:color w:val="1A2B20"/>
                <w:sz w:val="19"/>
                <w:szCs w:val="19"/>
              </w:rPr>
              <w:t xml:space="preserve">Estimated internally</w:t>
            </w:r>
          </w:p>
        </w:tc>
        <w:tc>
          <w:tcPr>
            <w:shd w:fill="FFFFFF" w:val="clear"/>
            <w:tcMar>
              <w:top w:type="dxa" w:w="50"/>
              <w:left w:type="dxa" w:w="120"/>
              <w:bottom w:type="dxa" w:w="50"/>
              <w:right w:type="dxa" w:w="120"/>
            </w:tcMar>
          </w:tcPr>
          <w:p>
            <w:r>
              <w:rPr>
                <w:rFonts w:ascii="Calibri"/>
                <w:color w:val="1A2B20"/>
                <w:sz w:val="19"/>
                <w:szCs w:val="19"/>
              </w:rPr>
              <w:t xml:space="preserve">Moving to pilot data in Q3 2026</w:t>
            </w:r>
          </w:p>
        </w:tc>
      </w:tr>
      <w:tr>
        <w:trPr>
          <w:cantSplit/>
        </w:trPr>
        <w:tc>
          <w:tcPr>
            <w:shd w:fill="EDF5F2" w:val="clear"/>
            <w:tcMar>
              <w:top w:type="dxa" w:w="50"/>
              <w:left w:type="dxa" w:w="120"/>
              <w:bottom w:type="dxa" w:w="50"/>
              <w:right w:type="dxa" w:w="120"/>
            </w:tcMar>
          </w:tcPr>
          <w:p>
            <w:r>
              <w:rPr>
                <w:rFonts w:ascii="Calibri"/>
                <w:color w:val="1A2B20"/>
                <w:sz w:val="19"/>
                <w:szCs w:val="19"/>
              </w:rPr>
              <w:t xml:space="preserve">6. Previous Funding</w:t>
            </w:r>
          </w:p>
        </w:tc>
        <w:tc>
          <w:tcPr>
            <w:shd w:fill="EDF5F2" w:val="clear"/>
            <w:tcMar>
              <w:top w:type="dxa" w:w="50"/>
              <w:left w:type="dxa" w:w="120"/>
              <w:bottom w:type="dxa" w:w="50"/>
              <w:right w:type="dxa" w:w="120"/>
            </w:tcMar>
          </w:tcPr>
          <w:p>
            <w:r>
              <w:rPr>
                <w:rFonts w:ascii="Calibri"/>
                <w:color w:val="1A2B20"/>
                <w:sz w:val="19"/>
                <w:szCs w:val="19"/>
              </w:rPr>
              <w:t xml:space="preserve">Raised?</w:t>
            </w:r>
          </w:p>
        </w:tc>
        <w:tc>
          <w:tcPr>
            <w:shd w:fill="EDF5F2" w:val="clear"/>
            <w:tcMar>
              <w:top w:type="dxa" w:w="50"/>
              <w:left w:type="dxa" w:w="120"/>
              <w:bottom w:type="dxa" w:w="50"/>
              <w:right w:type="dxa" w:w="120"/>
            </w:tcMar>
          </w:tcPr>
          <w:p>
            <w:r>
              <w:rPr>
                <w:rFonts w:ascii="Calibri"/>
                <w:color w:val="1A2B20"/>
                <w:sz w:val="19"/>
                <w:szCs w:val="19"/>
              </w:rPr>
              <w:t xml:space="preserve">No</w:t>
            </w:r>
          </w:p>
        </w:tc>
        <w:tc>
          <w:tcPr>
            <w:shd w:fill="EDF5F2" w:val="clear"/>
            <w:tcMar>
              <w:top w:type="dxa" w:w="50"/>
              <w:left w:type="dxa" w:w="120"/>
              <w:bottom w:type="dxa" w:w="50"/>
              <w:right w:type="dxa" w:w="120"/>
            </w:tcMar>
          </w:tcPr>
          <w:p>
            <w:r>
              <w:rPr>
                <w:rFonts w:ascii="Calibri"/>
                <w:color w:val="1A2B20"/>
                <w:sz w:val="19"/>
                <w:szCs w:val="19"/>
              </w:rPr>
              <w:t xml:space="preserve">Bootstrapped to date</w:t>
            </w:r>
          </w:p>
        </w:tc>
      </w:tr>
      <w:tr>
        <w:trPr>
          <w:cantSplit/>
        </w:trPr>
        <w:tc>
          <w:tcPr>
            <w:shd w:fill="FFFFFF" w:val="clear"/>
            <w:tcMar>
              <w:top w:type="dxa" w:w="50"/>
              <w:left w:type="dxa" w:w="120"/>
              <w:bottom w:type="dxa" w:w="50"/>
              <w:right w:type="dxa" w:w="120"/>
            </w:tcMar>
          </w:tcPr>
          <w:p>
            <w:r>
              <w:rPr>
                <w:rFonts w:ascii="Calibri"/>
                <w:color w:val="1A2B20"/>
                <w:sz w:val="19"/>
                <w:szCs w:val="19"/>
              </w:rPr>
              <w:t xml:space="preserve">6. Current Fundraise</w:t>
            </w:r>
          </w:p>
        </w:tc>
        <w:tc>
          <w:tcPr>
            <w:shd w:fill="FFFFFF" w:val="clear"/>
            <w:tcMar>
              <w:top w:type="dxa" w:w="50"/>
              <w:left w:type="dxa" w:w="120"/>
              <w:bottom w:type="dxa" w:w="50"/>
              <w:right w:type="dxa" w:w="120"/>
            </w:tcMar>
          </w:tcPr>
          <w:p>
            <w:r>
              <w:rPr>
                <w:rFonts w:ascii="Calibri"/>
                <w:color w:val="1A2B20"/>
                <w:sz w:val="19"/>
                <w:szCs w:val="19"/>
              </w:rPr>
              <w:t xml:space="preserve">Status</w:t>
            </w:r>
          </w:p>
        </w:tc>
        <w:tc>
          <w:tcPr>
            <w:shd w:fill="FFFFFF" w:val="clear"/>
            <w:tcMar>
              <w:top w:type="dxa" w:w="50"/>
              <w:left w:type="dxa" w:w="120"/>
              <w:bottom w:type="dxa" w:w="50"/>
              <w:right w:type="dxa" w:w="120"/>
            </w:tcMar>
          </w:tcPr>
          <w:p>
            <w:r>
              <w:rPr>
                <w:rFonts w:ascii="Calibri"/>
                <w:color w:val="1A2B20"/>
                <w:sz w:val="19"/>
                <w:szCs w:val="19"/>
              </w:rPr>
              <w:t xml:space="preserve">Planning to raise within the next 12 months</w:t>
            </w:r>
          </w:p>
        </w:tc>
        <w:tc>
          <w:tcPr>
            <w:shd w:fill="FFFFFF" w:val="clear"/>
            <w:tcMar>
              <w:top w:type="dxa" w:w="50"/>
              <w:left w:type="dxa" w:w="120"/>
              <w:bottom w:type="dxa" w:w="50"/>
              <w:right w:type="dxa" w:w="120"/>
            </w:tcMar>
          </w:tcPr>
          <w:p>
            <w:r>
              <w:rPr>
                <w:rFonts w:ascii="Calibri"/>
                <w:color w:val="1A2B20"/>
                <w:sz w:val="19"/>
                <w:szCs w:val="19"/>
              </w:rPr>
              <w:t xml:space="preserve">Targeting pre-seed after program</w:t>
            </w:r>
          </w:p>
        </w:tc>
      </w:tr>
      <w:tr>
        <w:trPr>
          <w:cantSplit/>
        </w:trPr>
        <w:tc>
          <w:tcPr>
            <w:shd w:fill="EDF5F2" w:val="clear"/>
            <w:tcMar>
              <w:top w:type="dxa" w:w="50"/>
              <w:left w:type="dxa" w:w="120"/>
              <w:bottom w:type="dxa" w:w="50"/>
              <w:right w:type="dxa" w:w="120"/>
            </w:tcMar>
          </w:tcPr>
          <w:p>
            <w:r>
              <w:rPr>
                <w:rFonts w:ascii="Calibri"/>
                <w:color w:val="1A2B20"/>
                <w:sz w:val="19"/>
                <w:szCs w:val="19"/>
              </w:rPr>
              <w:t xml:space="preserve">7. Vietnam Commitment</w:t>
            </w:r>
          </w:p>
        </w:tc>
        <w:tc>
          <w:tcPr>
            <w:shd w:fill="EDF5F2" w:val="clear"/>
            <w:tcMar>
              <w:top w:type="dxa" w:w="50"/>
              <w:left w:type="dxa" w:w="120"/>
              <w:bottom w:type="dxa" w:w="50"/>
              <w:right w:type="dxa" w:w="120"/>
            </w:tcMar>
          </w:tcPr>
          <w:p>
            <w:r>
              <w:rPr>
                <w:rFonts w:ascii="Calibri"/>
                <w:color w:val="1A2B20"/>
                <w:sz w:val="19"/>
                <w:szCs w:val="19"/>
              </w:rPr>
              <w:t xml:space="preserve">Level</w:t>
            </w:r>
          </w:p>
        </w:tc>
        <w:tc>
          <w:tcPr>
            <w:shd w:fill="EDF5F2" w:val="clear"/>
            <w:tcMar>
              <w:top w:type="dxa" w:w="50"/>
              <w:left w:type="dxa" w:w="120"/>
              <w:bottom w:type="dxa" w:w="50"/>
              <w:right w:type="dxa" w:w="120"/>
            </w:tcMar>
          </w:tcPr>
          <w:p>
            <w:r>
              <w:rPr>
                <w:rFonts w:ascii="Calibri"/>
                <w:color w:val="1A2B20"/>
                <w:sz w:val="19"/>
                <w:szCs w:val="19"/>
              </w:rPr>
              <w:t xml:space="preserve">Currently operating in Vietnam</w:t>
            </w:r>
          </w:p>
        </w:tc>
        <w:tc>
          <w:tcPr>
            <w:shd w:fill="EDF5F2" w:val="clear"/>
            <w:tcMar>
              <w:top w:type="dxa" w:w="50"/>
              <w:left w:type="dxa" w:w="120"/>
              <w:bottom w:type="dxa" w:w="50"/>
              <w:right w:type="dxa" w:w="120"/>
            </w:tcMar>
          </w:tcPr>
          <w:p>
            <w:r>
              <w:rPr>
                <w:rFonts w:ascii="Calibri"/>
                <w:color w:val="1A2B20"/>
                <w:sz w:val="19"/>
                <w:szCs w:val="19"/>
              </w:rPr>
              <w:t xml:space="preserve">Metrang partnership, Vietnam tenant live</w:t>
            </w:r>
          </w:p>
        </w:tc>
      </w:tr>
      <w:tr>
        <w:trPr>
          <w:cantSplit/>
        </w:trPr>
        <w:tc>
          <w:tcPr>
            <w:shd w:fill="FFFFFF" w:val="clear"/>
            <w:tcMar>
              <w:top w:type="dxa" w:w="50"/>
              <w:left w:type="dxa" w:w="120"/>
              <w:bottom w:type="dxa" w:w="50"/>
              <w:right w:type="dxa" w:w="120"/>
            </w:tcMar>
          </w:tcPr>
          <w:p>
            <w:r>
              <w:rPr>
                <w:rFonts w:ascii="Calibri"/>
                <w:color w:val="1A2B20"/>
                <w:sz w:val="19"/>
                <w:szCs w:val="19"/>
              </w:rPr>
              <w:t xml:space="preserve">8. Support Needs</w:t>
            </w:r>
          </w:p>
        </w:tc>
        <w:tc>
          <w:tcPr>
            <w:shd w:fill="FFFFFF" w:val="clear"/>
            <w:tcMar>
              <w:top w:type="dxa" w:w="50"/>
              <w:left w:type="dxa" w:w="120"/>
              <w:bottom w:type="dxa" w:w="50"/>
              <w:right w:type="dxa" w:w="120"/>
            </w:tcMar>
          </w:tcPr>
          <w:p>
            <w:r>
              <w:rPr>
                <w:rFonts w:ascii="Calibri"/>
                <w:color w:val="1A2B20"/>
                <w:sz w:val="19"/>
                <w:szCs w:val="19"/>
              </w:rPr>
              <w:t xml:space="preserve">Primary</w:t>
            </w:r>
          </w:p>
        </w:tc>
        <w:tc>
          <w:tcPr>
            <w:shd w:fill="FFFFFF" w:val="clear"/>
            <w:tcMar>
              <w:top w:type="dxa" w:w="50"/>
              <w:left w:type="dxa" w:w="120"/>
              <w:bottom w:type="dxa" w:w="50"/>
              <w:right w:type="dxa" w:w="120"/>
            </w:tcMar>
          </w:tcPr>
          <w:p>
            <w:r>
              <w:rPr>
                <w:rFonts w:ascii="Calibri"/>
                <w:color w:val="1A2B20"/>
                <w:sz w:val="19"/>
                <w:szCs w:val="19"/>
              </w:rPr>
              <w:t xml:space="preserve">Investment + Corporate partnerships</w:t>
            </w:r>
          </w:p>
        </w:tc>
        <w:tc>
          <w:tcPr>
            <w:shd w:fill="FFFFFF" w:val="clear"/>
            <w:tcMar>
              <w:top w:type="dxa" w:w="50"/>
              <w:left w:type="dxa" w:w="120"/>
              <w:bottom w:type="dxa" w:w="50"/>
              <w:right w:type="dxa" w:w="120"/>
            </w:tcMar>
          </w:tcPr>
          <w:p>
            <w:r>
              <w:rPr>
                <w:rFonts w:ascii="Calibri"/>
                <w:color w:val="1A2B20"/>
                <w:sz w:val="19"/>
                <w:szCs w:val="19"/>
              </w:rPr>
              <w:t xml:space="preserve">Select top 2; add Market access (Korea)</w:t>
            </w:r>
          </w:p>
        </w:tc>
      </w:tr>
      <w:tr>
        <w:trPr>
          <w:cantSplit/>
        </w:trPr>
        <w:tc>
          <w:tcPr>
            <w:shd w:fill="EDF5F2" w:val="clear"/>
            <w:tcMar>
              <w:top w:type="dxa" w:w="50"/>
              <w:left w:type="dxa" w:w="120"/>
              <w:bottom w:type="dxa" w:w="50"/>
              <w:right w:type="dxa" w:w="120"/>
            </w:tcMar>
          </w:tcPr>
          <w:p>
            <w:r>
              <w:rPr>
                <w:rFonts w:ascii="Calibri"/>
                <w:color w:val="1A2B20"/>
                <w:sz w:val="19"/>
                <w:szCs w:val="19"/>
              </w:rPr>
              <w:t xml:space="preserve">8. Commitment</w:t>
            </w:r>
          </w:p>
        </w:tc>
        <w:tc>
          <w:tcPr>
            <w:shd w:fill="EDF5F2" w:val="clear"/>
            <w:tcMar>
              <w:top w:type="dxa" w:w="50"/>
              <w:left w:type="dxa" w:w="120"/>
              <w:bottom w:type="dxa" w:w="50"/>
              <w:right w:type="dxa" w:w="120"/>
            </w:tcMar>
          </w:tcPr>
          <w:p>
            <w:r>
              <w:rPr>
                <w:rFonts w:ascii="Calibri"/>
                <w:color w:val="1A2B20"/>
                <w:sz w:val="19"/>
                <w:szCs w:val="19"/>
              </w:rPr>
              <w:t xml:space="preserve">In-person?</w:t>
            </w:r>
          </w:p>
        </w:tc>
        <w:tc>
          <w:tcPr>
            <w:shd w:fill="EDF5F2" w:val="clear"/>
            <w:tcMar>
              <w:top w:type="dxa" w:w="50"/>
              <w:left w:type="dxa" w:w="120"/>
              <w:bottom w:type="dxa" w:w="50"/>
              <w:right w:type="dxa" w:w="120"/>
            </w:tcMar>
          </w:tcPr>
          <w:p>
            <w:r>
              <w:rPr>
                <w:rFonts w:ascii="Calibri"/>
                <w:color w:val="1A2B20"/>
                <w:sz w:val="19"/>
                <w:szCs w:val="19"/>
              </w:rPr>
              <w:t xml:space="preserve">Yes</w:t>
            </w:r>
          </w:p>
        </w:tc>
        <w:tc>
          <w:tcPr>
            <w:shd w:fill="EDF5F2" w:val="clear"/>
            <w:tcMar>
              <w:top w:type="dxa" w:w="50"/>
              <w:left w:type="dxa" w:w="120"/>
              <w:bottom w:type="dxa" w:w="50"/>
              <w:right w:type="dxa" w:w="120"/>
            </w:tcMar>
          </w:tcPr>
          <w:p>
            <w:r>
              <w:rPr>
                <w:rFonts w:ascii="Calibri"/>
                <w:color w:val="1A2B20"/>
                <w:sz w:val="19"/>
                <w:szCs w:val="19"/>
              </w:rPr>
              <w:t xml:space="preserve">Available for Hanoi, HCMC, Seoul</w:t>
            </w:r>
          </w:p>
        </w:tc>
      </w:tr>
      <w:tr>
        <w:trPr>
          <w:cantSplit/>
        </w:trPr>
        <w:tc>
          <w:tcPr>
            <w:shd w:fill="FFFFFF" w:val="clear"/>
            <w:tcMar>
              <w:top w:type="dxa" w:w="50"/>
              <w:left w:type="dxa" w:w="120"/>
              <w:bottom w:type="dxa" w:w="50"/>
              <w:right w:type="dxa" w:w="120"/>
            </w:tcMar>
          </w:tcPr>
          <w:p>
            <w:r>
              <w:rPr>
                <w:rFonts w:ascii="Calibri"/>
                <w:color w:val="1A2B20"/>
                <w:sz w:val="19"/>
                <w:szCs w:val="19"/>
              </w:rPr>
              <w:t xml:space="preserve">9. How did you hear?</w:t>
            </w:r>
          </w:p>
        </w:tc>
        <w:tc>
          <w:tcPr>
            <w:shd w:fill="FFFFFF" w:val="clear"/>
            <w:tcMar>
              <w:top w:type="dxa" w:w="50"/>
              <w:left w:type="dxa" w:w="120"/>
              <w:bottom w:type="dxa" w:w="50"/>
              <w:right w:type="dxa" w:w="120"/>
            </w:tcMar>
          </w:tcPr>
          <w:p>
            <w:r>
              <w:rPr>
                <w:rFonts w:ascii="Calibri"/>
                <w:color w:val="1A2B20"/>
                <w:sz w:val="19"/>
                <w:szCs w:val="19"/>
              </w:rPr>
              <w:t xml:space="preserve">Source</w:t>
            </w:r>
          </w:p>
        </w:tc>
        <w:tc>
          <w:tcPr>
            <w:shd w:fill="FFFFFF" w:val="clear"/>
            <w:tcMar>
              <w:top w:type="dxa" w:w="50"/>
              <w:left w:type="dxa" w:w="120"/>
              <w:bottom w:type="dxa" w:w="50"/>
              <w:right w:type="dxa" w:w="120"/>
            </w:tcMar>
          </w:tcPr>
          <w:p>
            <w:r>
              <w:rPr>
                <w:rFonts w:ascii="Calibri"/>
                <w:color w:val="1A2B20"/>
                <w:sz w:val="19"/>
                <w:szCs w:val="19"/>
              </w:rPr>
              <w:t xml:space="preserve">Partner organization</w:t>
            </w:r>
          </w:p>
        </w:tc>
        <w:tc>
          <w:tcPr>
            <w:shd w:fill="FFFFFF" w:val="clear"/>
            <w:tcMar>
              <w:top w:type="dxa" w:w="50"/>
              <w:left w:type="dxa" w:w="120"/>
              <w:bottom w:type="dxa" w:w="50"/>
              <w:right w:type="dxa" w:w="120"/>
            </w:tcMar>
          </w:tcPr>
          <w:p>
            <w:r>
              <w:rPr>
                <w:rFonts w:ascii="Calibri"/>
                <w:color w:val="1A2B20"/>
                <w:sz w:val="19"/>
                <w:szCs w:val="19"/>
              </w:rPr>
              <w:t xml:space="preserve">Or select most applicable</w:t>
            </w:r>
          </w:p>
        </w:tc>
      </w:tr>
      <w:tr>
        <w:trPr>
          <w:cantSplit/>
        </w:trPr>
        <w:tc>
          <w:tcPr>
            <w:shd w:fill="EDF5F2" w:val="clear"/>
            <w:tcMar>
              <w:top w:type="dxa" w:w="50"/>
              <w:left w:type="dxa" w:w="120"/>
              <w:bottom w:type="dxa" w:w="50"/>
              <w:right w:type="dxa" w:w="120"/>
            </w:tcMar>
          </w:tcPr>
          <w:p>
            <w:r>
              <w:rPr>
                <w:rFonts w:ascii="Calibri"/>
                <w:color w:val="1A2B20"/>
                <w:sz w:val="19"/>
                <w:szCs w:val="19"/>
              </w:rPr>
              <w:t xml:space="preserve">5. IP Status</w:t>
            </w:r>
          </w:p>
        </w:tc>
        <w:tc>
          <w:tcPr>
            <w:shd w:fill="EDF5F2" w:val="clear"/>
            <w:tcMar>
              <w:top w:type="dxa" w:w="50"/>
              <w:left w:type="dxa" w:w="120"/>
              <w:bottom w:type="dxa" w:w="50"/>
              <w:right w:type="dxa" w:w="120"/>
            </w:tcMar>
          </w:tcPr>
          <w:p>
            <w:r>
              <w:rPr>
                <w:rFonts w:ascii="Calibri"/>
                <w:color w:val="1A2B20"/>
                <w:sz w:val="19"/>
                <w:szCs w:val="19"/>
              </w:rPr>
              <w:t xml:space="preserve">IP?</w:t>
            </w:r>
          </w:p>
        </w:tc>
        <w:tc>
          <w:tcPr>
            <w:shd w:fill="EDF5F2" w:val="clear"/>
            <w:tcMar>
              <w:top w:type="dxa" w:w="50"/>
              <w:left w:type="dxa" w:w="120"/>
              <w:bottom w:type="dxa" w:w="50"/>
              <w:right w:type="dxa" w:w="120"/>
            </w:tcMar>
          </w:tcPr>
          <w:p>
            <w:r>
              <w:rPr>
                <w:rFonts w:ascii="Calibri"/>
                <w:color w:val="1A2B20"/>
                <w:sz w:val="19"/>
                <w:szCs w:val="19"/>
              </w:rPr>
              <w:t xml:space="preserve">In development / not yet registered</w:t>
            </w:r>
          </w:p>
        </w:tc>
        <w:tc>
          <w:tcPr>
            <w:shd w:fill="EDF5F2" w:val="clear"/>
            <w:tcMar>
              <w:top w:type="dxa" w:w="50"/>
              <w:left w:type="dxa" w:w="120"/>
              <w:bottom w:type="dxa" w:w="50"/>
              <w:right w:type="dxa" w:w="120"/>
            </w:tcMar>
          </w:tcPr>
          <w:p>
            <w:r>
              <w:rPr>
                <w:rFonts w:ascii="Calibri"/>
                <w:color w:val="1A2B20"/>
                <w:sz w:val="19"/>
                <w:szCs w:val="19"/>
              </w:rPr>
              <w:t xml:space="preserve">Proprietary architecture, filing planned</w:t>
            </w:r>
          </w:p>
        </w:tc>
      </w:tr>
    </w:tbl>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2. Short Team Description (150–200 words)</w:t>
      </w:r>
    </w:p>
    <w:p>
      <w:pPr>
        <w:spacing w:after="120" w:before="80" w:line="312"/>
        <w:ind w:firstLine="0"/>
        <w:jc w:val="both"/>
      </w:pPr>
      <w:r>
        <w:rPr>
          <w:rFonts w:ascii="Calibri" w:eastAsia="Microsoft YaHei"/>
          <w:color w:val="1A2B20"/>
          <w:sz w:val="22"/>
          <w:szCs w:val="22"/>
        </w:rPr>
        <w:t xml:space="preserve">TerraBrew is founded by a serial agritech entrepreneur with 13 years of experience designing and deploying coffee traceability platforms across Vietnam, Brazil, Ethiopia, and Kenya. Having built multiple supply-chain tracking systems for cooperatives, exporters, and certification bodies, the founder identified a critical gap: existing traceability tools were built for data collection, not for regulatory compliance. When the EU Deforestation Regulation (EUDR) took effect, those systems could not produce the legally defensible Due Diligence Statements that EU customs now demands.</w:t>
      </w:r>
      <w:r>
        <w:rPr>
          <w:rFonts w:ascii="Calibri" w:eastAsia="Microsoft YaHei"/>
          <w:color w:val="1A2B20"/>
          <w:sz w:val="22"/>
          <w:szCs w:val="22"/>
        </w:rPr>
        <w:t xml:space="preserve"> The core team combines deep domain expertise in coffee supply chains with full-stack SaaS engineering capabilities. We have firsthand experience working inside cooperatives in Vietnam’s Central Highlands, navigating export compliance in Santos, and understanding the operational realities of smallholder-heavy supply chains. This is not a team learning the industry — it is a team that has lived inside the problem for over a decade and is now building the infrastructure the sector actually needs: compliance-first, not compliance-bolted-on.</w:t>
      </w:r>
    </w:p>
    <w:p>
      <w:pPr>
        <w:spacing w:after="160" w:before="60" w:line="280"/>
      </w:pPr>
      <w:r>
        <w:rPr>
          <w:rFonts w:ascii="Calibri" w:eastAsia="Microsoft YaHei"/>
          <w:i/>
          <w:iCs/>
          <w:color w:val="507060"/>
          <w:sz w:val="18"/>
          <w:szCs w:val="18"/>
        </w:rPr>
        <w:t xml:space="preserve">[Word count: ~148]</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3. Problem Statement (100–150 words)</w:t>
      </w:r>
    </w:p>
    <w:p>
      <w:pPr>
        <w:spacing w:after="120" w:before="80" w:line="312"/>
        <w:ind w:firstLine="0"/>
        <w:jc w:val="both"/>
      </w:pPr>
      <w:r>
        <w:rPr>
          <w:rFonts w:ascii="Calibri" w:eastAsia="Microsoft YaHei"/>
          <w:color w:val="1A2B20"/>
          <w:sz w:val="22"/>
          <w:szCs w:val="22"/>
        </w:rPr>
        <w:t xml:space="preserve">The EU Deforestation Regulation (EUDR), effective December 2025, bans the sale of any coffee linked to deforestation after December 2020. Exporters must submit GPS polygon data for every farm plot, chain-of-custody records for every shipment, and a legally binding Due Diligence Statement (DDS) to EU customs via the TRACES-NT system. Non-compliance means shipments are turned back at the border — effectively locking producers out of the world’s largest coffee market. Vietnam, the world’s second-largest coffee exporter sending over $3.5 billion annually to the EU, is disproportionately exposed. Yet the vast majority of Vietnamese cooperatives and exporters still rely on spreadsheets, paper records, and fragmented systems that cannot produce the evidence EUDR demands. The problem is not a lack of data — it is a lack of infrastructure to turn that data into legally compliant proof.</w:t>
      </w:r>
    </w:p>
    <w:p>
      <w:pPr>
        <w:spacing w:after="160" w:before="60" w:line="280"/>
      </w:pPr>
      <w:r>
        <w:rPr>
          <w:rFonts w:ascii="Calibri" w:eastAsia="Microsoft YaHei"/>
          <w:i/>
          <w:iCs/>
          <w:color w:val="507060"/>
          <w:sz w:val="18"/>
          <w:szCs w:val="18"/>
        </w:rPr>
        <w:t xml:space="preserve">[Word count: ~143]</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3. Solution &amp; Value Proposition (150–200 words)</w:t>
      </w:r>
    </w:p>
    <w:p>
      <w:pPr>
        <w:spacing w:after="120" w:before="80" w:line="312"/>
        <w:ind w:firstLine="0"/>
        <w:jc w:val="both"/>
      </w:pPr>
      <w:r>
        <w:rPr>
          <w:rFonts w:ascii="Calibri" w:eastAsia="Microsoft YaHei"/>
          <w:color w:val="1A2B20"/>
          <w:sz w:val="22"/>
          <w:szCs w:val="22"/>
        </w:rPr>
        <w:t xml:space="preserve">TerraBrew is a compliance-first SaaS platform purpose-built for the coffee supply chain to meet EUDR requirements. Unlike existing traceability tools that bolt on compliance as an afterthought, TerraBrew’s architecture is designed around the specific evidence chain that EU regulators require: GPS polygon verification, multi-entity chain-of-custody tracking, and automated Due Diligence Statement generation in the format accepted by TRACES-NT.</w:t>
      </w:r>
      <w:r>
        <w:rPr>
          <w:rFonts w:ascii="Calibri" w:eastAsia="Microsoft YaHei"/>
          <w:color w:val="1A2B20"/>
          <w:sz w:val="22"/>
          <w:szCs w:val="22"/>
        </w:rPr>
        <w:t xml:space="preserve"> Our platform supports the full ecosystem of coffee supply-chain actors — producers, cooperatives, exporters, importers, certifiers, and laboratories — with role-specific workflows that reflect how each entity actually operates. A cooperative in the Central Highlands logs farmer plot data and harvest volumes; an exporter in Ho Chi Minh City generates the DDS for a container bound for Hamburg. The data flows seamlessly between them. The result: what currently takes exporters three months and tens of thousands of dollars in consultant fees can be accomplished in days, with audit-ready documentation that survives regulatory scrutiny. TerraBrew turns compliance from a cost center into a competitive advantage.</w:t>
      </w:r>
    </w:p>
    <w:p>
      <w:pPr>
        <w:spacing w:after="160" w:before="60" w:line="280"/>
      </w:pPr>
      <w:r>
        <w:rPr>
          <w:rFonts w:ascii="Calibri" w:eastAsia="Microsoft YaHei"/>
          <w:i/>
          <w:iCs/>
          <w:color w:val="507060"/>
          <w:sz w:val="18"/>
          <w:szCs w:val="18"/>
        </w:rPr>
        <w:t xml:space="preserve">[Word count: ~149]</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3. Business Model — Revenue Description (100 words)</w:t>
      </w:r>
    </w:p>
    <w:p>
      <w:pPr>
        <w:spacing w:after="100" w:before="280" w:line="312"/>
      </w:pPr>
      <w:r>
        <w:rPr>
          <w:rFonts w:ascii="Calibri" w:eastAsia="Microsoft YaHei"/>
          <w:b/>
          <w:bCs/>
          <w:i/>
          <w:iCs/>
          <w:color w:val="2A7A65"/>
          <w:sz w:val="24"/>
          <w:szCs w:val="24"/>
        </w:rPr>
        <w:t xml:space="preserve">Select: B2B + B2G</w:t>
      </w:r>
    </w:p>
    <w:p>
      <w:pPr>
        <w:spacing w:after="120" w:before="80" w:line="312"/>
        <w:ind w:firstLine="0"/>
        <w:jc w:val="both"/>
      </w:pPr>
      <w:r>
        <w:rPr>
          <w:rFonts w:ascii="Calibri" w:eastAsia="Microsoft YaHei"/>
          <w:color w:val="1A2B20"/>
          <w:sz w:val="22"/>
          <w:szCs w:val="22"/>
        </w:rPr>
        <w:t xml:space="preserve">TerraBrew generates revenue through tiered B2B SaaS subscriptions ($299–$1,999/month) based on organization type and volume, plus a compliance add-on for EUDR-specific modules (DDS generation, geolocation verification). Exporters and importers pay higher tiers for multi-origin shipment management and API access. Cooperatives and producer organizations access a lower tier scaled to their needs. A B2G channel provides compliance infrastructure to government agencies monitoring EUDR readiness at the national level. Additional revenue comes from onboarding and implementation fees for enterprise deployments, and per-statement fees for DDS generation beyond plan limits.</w:t>
      </w:r>
    </w:p>
    <w:p>
      <w:pPr>
        <w:spacing w:after="160" w:before="60" w:line="280"/>
      </w:pPr>
      <w:r>
        <w:rPr>
          <w:rFonts w:ascii="Calibri" w:eastAsia="Microsoft YaHei"/>
          <w:i/>
          <w:iCs/>
          <w:color w:val="507060"/>
          <w:sz w:val="18"/>
          <w:szCs w:val="18"/>
        </w:rPr>
        <w:t xml:space="preserve">[Word count: ~87]</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3. Core Technology / Innovation (150–200 words)</w:t>
      </w:r>
    </w:p>
    <w:p>
      <w:pPr>
        <w:spacing w:after="120" w:before="80" w:line="312"/>
        <w:ind w:firstLine="0"/>
        <w:jc w:val="both"/>
      </w:pPr>
      <w:r>
        <w:rPr>
          <w:rFonts w:ascii="Calibri" w:eastAsia="Microsoft YaHei"/>
          <w:color w:val="1A2B20"/>
          <w:sz w:val="22"/>
          <w:szCs w:val="22"/>
        </w:rPr>
        <w:t xml:space="preserve">TerraBrew’s core innovation is a compliance-native data architecture that treats every data point as potential regulatory evidence. Our multi-tenant platform models seven distinct entity types across the coffee supply chain, each with role-specific data capture workflows that map directly to EUDR’s evidence requirements. Key innovations include: (1) an integrated geolocation engine that collects, validates, and stores GPS polygon data against satellite-derived deforestation baselines; (2) an automated DDS generation pipeline that assembles chain-of-custody records into TRACES-NT-compatible due diligence statements; and (3) a proprietary trust-scoring system that quantifies shipment-level compliance risk based on data completeness, geolocation verification status, and certification coverage. The platform also implements progressive disclosure — role-appropriate feature unlocking that ensures users see only what’s relevant to their function, reducing training burden in low-digital-literacy environments. Built on a modern cloud-native stack, TerraBrew is designed for multi-country deployment with full localization support for Vietnamese, Portuguese, Amharic, Swahili, and Korean.</w:t>
      </w:r>
    </w:p>
    <w:p>
      <w:pPr>
        <w:spacing w:after="160" w:before="60" w:line="280"/>
      </w:pPr>
      <w:r>
        <w:rPr>
          <w:rFonts w:ascii="Calibri" w:eastAsia="Microsoft YaHei"/>
          <w:i/>
          <w:iCs/>
          <w:color w:val="507060"/>
          <w:sz w:val="18"/>
          <w:szCs w:val="18"/>
        </w:rPr>
        <w:t xml:space="preserve">[Word count: ~142]</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3. Competitive Differentiation (150 words)</w:t>
      </w:r>
    </w:p>
    <w:p>
      <w:pPr>
        <w:spacing w:after="120" w:before="80" w:line="312"/>
        <w:ind w:firstLine="0"/>
        <w:jc w:val="both"/>
      </w:pPr>
      <w:r>
        <w:rPr>
          <w:rFonts w:ascii="Calibri" w:eastAsia="Microsoft YaHei"/>
          <w:color w:val="1A2B20"/>
          <w:sz w:val="22"/>
          <w:szCs w:val="22"/>
        </w:rPr>
        <w:t xml:space="preserve">Existing solutions fall into two camps: (1) generic supply-chain platforms (Sourcemap, Tracr, Farmer Connect) that offer broad traceability but lack EUDR-specific compliance workflows, GPS polygon handling, and DDS generation; and (2) ERP-style export management tools that handle logistics but cannot produce deforestation evidence. Neither was designed for the specific regulatory burden EUDR imposes. TerraBrew is differentiated by three factors. First, compliance-first architecture: every feature is built to produce audit-ready evidence, not just collect data. Second, coffee-sector specificity: we model the exact entity types, roles, and workflows that exist in coffee supply chains, not generic supply-chain abstractions. Third, multi-origin operability: our platform handles cross-border, multi-language, multi-currency supply chains out of the box — because that is how coffee is actually traded. Competitors would need to rebuild their data models from scratch to match this level of regulatory specificity.</w:t>
      </w:r>
    </w:p>
    <w:p>
      <w:pPr>
        <w:spacing w:after="160" w:before="60" w:line="280"/>
      </w:pPr>
      <w:r>
        <w:rPr>
          <w:rFonts w:ascii="Calibri" w:eastAsia="Microsoft YaHei"/>
          <w:i/>
          <w:iCs/>
          <w:color w:val="507060"/>
          <w:sz w:val="18"/>
          <w:szCs w:val="18"/>
        </w:rPr>
        <w:t xml:space="preserve">[Word count: ~140]</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3. Sector Relevance in Vietnam (150–200 words)</w:t>
      </w:r>
    </w:p>
    <w:p>
      <w:pPr>
        <w:spacing w:after="120" w:before="80" w:line="312"/>
        <w:ind w:firstLine="0"/>
        <w:jc w:val="both"/>
      </w:pPr>
      <w:r>
        <w:rPr>
          <w:rFonts w:ascii="Calibri" w:eastAsia="Microsoft YaHei"/>
          <w:color w:val="1A2B20"/>
          <w:sz w:val="22"/>
          <w:szCs w:val="22"/>
        </w:rPr>
        <w:t xml:space="preserve">Vietnam is the world’s second-largest coffee exporter, with over 660,000 hectares under cultivation and $3.5 billion in annual exports, the majority destined for the EU. The Central Highlands — home to the bulk of Vietnam’s coffee production — is also a region where deforestation pressures are acute, making EUDR compliance both environmentally critical and economically existential. TerraBrew directly addresses both the agriculture and circular economy dimensions. In agriculture, we enable smallholder cooperatives and large exporters alike to document their supply chains to the standard EU regulators demand, preserving market access for Vietnam’s most important agricultural export. In circular economy terms, by making deforestation-free supply chains verifiable and traceable, we create the economic incentive for producers to maintain forest cover rather than clear it — turning compliance into a mechanism for land-use preservation. Vietnam’s coffee sector also generates significant agricultural waste (pulp, husk, wastewater). Our traceability infrastructure can be extended to track waste streams and circular processing, creating a verifiable chain from farm to cup to byproduct repurposing.</w:t>
      </w:r>
    </w:p>
    <w:p>
      <w:pPr>
        <w:spacing w:after="160" w:before="60" w:line="280"/>
      </w:pPr>
      <w:r>
        <w:rPr>
          <w:rFonts w:ascii="Calibri" w:eastAsia="Microsoft YaHei"/>
          <w:i/>
          <w:iCs/>
          <w:color w:val="507060"/>
          <w:sz w:val="18"/>
          <w:szCs w:val="18"/>
        </w:rPr>
        <w:t xml:space="preserve">[Word count: ~155]</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3. Intellectual Property</w:t>
      </w:r>
    </w:p>
    <w:p>
      <w:pPr>
        <w:spacing w:after="100" w:before="280" w:line="312"/>
      </w:pPr>
      <w:r>
        <w:rPr>
          <w:rFonts w:ascii="Calibri" w:eastAsia="Microsoft YaHei"/>
          <w:b/>
          <w:bCs/>
          <w:i/>
          <w:iCs/>
          <w:color w:val="2A7A65"/>
          <w:sz w:val="24"/>
          <w:szCs w:val="24"/>
        </w:rPr>
        <w:t xml:space="preserve">Select: In development / not yet registered</w:t>
      </w:r>
    </w:p>
    <w:p>
      <w:pPr>
        <w:spacing w:after="120" w:before="80" w:line="312"/>
        <w:ind w:firstLine="0"/>
        <w:jc w:val="both"/>
      </w:pPr>
      <w:r>
        <w:rPr>
          <w:rFonts w:ascii="Calibri" w:eastAsia="Microsoft YaHei"/>
          <w:color w:val="1A2B20"/>
          <w:sz w:val="22"/>
          <w:szCs w:val="22"/>
        </w:rPr>
        <w:t xml:space="preserve">TerraBrew’s proprietary platform architecture, data models, and compliance workflows are internally developed and owned by the company. We have not yet filed formal patent or trademark registrations, but plan to file for trademark protection and key process patents as part of our post-pilot IP strategy.</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4. Target Customers (100–150 words)</w:t>
      </w:r>
    </w:p>
    <w:p>
      <w:pPr>
        <w:spacing w:after="120" w:before="80" w:line="312"/>
        <w:ind w:firstLine="0"/>
        <w:jc w:val="both"/>
      </w:pPr>
      <w:r>
        <w:rPr>
          <w:rFonts w:ascii="Calibri" w:eastAsia="Microsoft YaHei"/>
          <w:color w:val="1A2B20"/>
          <w:sz w:val="22"/>
          <w:szCs w:val="22"/>
        </w:rPr>
        <w:t xml:space="preserve">Our primary customers are coffee supply-chain actors who need EUDR compliance to maintain EU market access. Tier 1: Exporters and trading companies who must file Due Diligence Statements for every shipment entering the EU. They are our highest-value customers because compliance is an existential business requirement, not optional. Tier 2: Cooperatives and producer organizations that must provide geolocation and chain-of-custody data to their downstream buyers. They need affordable, easy-to-adopt tools that work in low-connectivity environments. Tier 3: Importers and roasters in the EU who need verifiable supply-chain documentation from their upstream partners. Tier 4: Certification bodies and laboratories that issue compliance-related documentation. Secondary customers include government trade agencies seeking national EUDR-readiness monitoring infrastructure.</w:t>
      </w:r>
    </w:p>
    <w:p>
      <w:pPr>
        <w:spacing w:after="160" w:before="60" w:line="280"/>
      </w:pPr>
      <w:r>
        <w:rPr>
          <w:rFonts w:ascii="Calibri" w:eastAsia="Microsoft YaHei"/>
          <w:i/>
          <w:iCs/>
          <w:color w:val="507060"/>
          <w:sz w:val="18"/>
          <w:szCs w:val="18"/>
        </w:rPr>
        <w:t xml:space="preserve">[Word count: ~105]</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4. Target Markets</w:t>
      </w:r>
    </w:p>
    <w:p>
      <w:pPr>
        <w:spacing w:after="100" w:before="280" w:line="312"/>
      </w:pPr>
      <w:r>
        <w:rPr>
          <w:rFonts w:ascii="Calibri" w:eastAsia="Microsoft YaHei"/>
          <w:b/>
          <w:bCs/>
          <w:i/>
          <w:iCs/>
          <w:color w:val="2A7A65"/>
          <w:sz w:val="24"/>
          <w:szCs w:val="24"/>
        </w:rPr>
        <w:t xml:space="preserve">Select: Vietnam, Southeast Asia, Europe, South Korea</w:t>
      </w:r>
    </w:p>
    <w:p>
      <w:pPr>
        <w:spacing w:after="120" w:before="80" w:line="312"/>
        <w:ind w:firstLine="0"/>
        <w:jc w:val="both"/>
      </w:pPr>
      <w:r>
        <w:rPr>
          <w:rFonts w:ascii="Calibri" w:eastAsia="Microsoft YaHei"/>
          <w:color w:val="1A2B20"/>
          <w:sz w:val="22"/>
          <w:szCs w:val="22"/>
        </w:rPr>
        <w:t xml:space="preserve">Vietnam is our anchor market: we have an operational partnership with a Vietnamese trading company and a live tenant deployment. Our platform already supports Vietnamese language and VND currency. Europe is the demand-side market: every coffee exporter selling into the EU needs EUDR compliance, making the EU our primary demand driver. Southeast Asia (Indonesia, Laos, Thailand) represents expansion opportunity as other ASEAN coffee producers face the same EUDR pressure. South Korea is a strategic expansion target: Korea is among the top 10 coffee-importing nations, and Korean roasters increasingly require verifiable supply-chain documentation for their own ESG commitments and potential future domestic regulations aligned with EUDR standards.</w:t>
      </w:r>
    </w:p>
    <w:p>
      <w:pPr>
        <w:spacing w:after="160" w:before="60" w:line="280"/>
      </w:pPr>
      <w:r>
        <w:rPr>
          <w:rFonts w:ascii="Calibri" w:eastAsia="Microsoft YaHei"/>
          <w:i/>
          <w:iCs/>
          <w:color w:val="507060"/>
          <w:sz w:val="18"/>
          <w:szCs w:val="18"/>
        </w:rPr>
        <w:t xml:space="preserve">[Word count: ~102]</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5. Impact Description (150–200 words)</w:t>
      </w:r>
    </w:p>
    <w:p>
      <w:pPr>
        <w:spacing w:after="120" w:before="80" w:line="312"/>
        <w:ind w:firstLine="0"/>
        <w:jc w:val="both"/>
      </w:pPr>
      <w:r>
        <w:rPr>
          <w:rFonts w:ascii="Calibri" w:eastAsia="Microsoft YaHei"/>
          <w:color w:val="1A2B20"/>
          <w:sz w:val="22"/>
          <w:szCs w:val="22"/>
        </w:rPr>
        <w:t xml:space="preserve">TerraBrew aims to make deforestation-free coffee supply chains the global standard by making compliance verifiable, affordable, and operationally practical. EUDR is the world’s first demand-side deforestation regulation — it doesn’t ask producers to reduce deforestation incrementally, it bans any product linked to it entirely. This is a binary regulatory gate, and the impact of enforcing it effectively is enormous: tropical deforestation driven by agricultural expansion accounts for approximately 4.3 billion tonnes of CO₂ emissions annually, second only to the energy sector. Coffee is one of the top drivers. By building the infrastructure that makes EUDR enforceable, TerraBrew converts a regulation on paper into a regulation in practice. For Vietnam specifically, effective EUDR compliance means that 660,000 hectares of coffee-growing land — much of it adjacent to threatened forest ecosystems — remains economically productive without expansion into forested areas. When compliance is expensive and difficult, the incentive is to circumvent it. When compliance is cheap and streamlined, the incentive is to adopt it. TerraBrew’s impact is proportional to adoption: every exporter onboarded is a supply chain where deforestation evidence becomes the default, not the exception.</w:t>
      </w:r>
    </w:p>
    <w:p>
      <w:pPr>
        <w:spacing w:after="160" w:before="60" w:line="280"/>
      </w:pPr>
      <w:r>
        <w:rPr>
          <w:rFonts w:ascii="Calibri" w:eastAsia="Microsoft YaHei"/>
          <w:i/>
          <w:iCs/>
          <w:color w:val="507060"/>
          <w:sz w:val="18"/>
          <w:szCs w:val="18"/>
        </w:rPr>
        <w:t xml:space="preserve">[Word count: ~164]</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5. Impact Mechanism (150 words)</w:t>
      </w:r>
    </w:p>
    <w:p>
      <w:pPr>
        <w:spacing w:after="120" w:before="80" w:line="312"/>
        <w:ind w:firstLine="0"/>
        <w:jc w:val="both"/>
      </w:pPr>
      <w:r>
        <w:rPr>
          <w:rFonts w:ascii="Calibri" w:eastAsia="Microsoft YaHei"/>
          <w:color w:val="1A2B20"/>
          <w:sz w:val="22"/>
          <w:szCs w:val="22"/>
        </w:rPr>
        <w:t xml:space="preserve">TerraBrew creates climate impact through three mechanisms. First, by reducing the cost and complexity of EUDR compliance, we remove the economic incentive to circumvent deforestation regulations. When compliance costs $40,000 per shipment in consultant fees, evasion looks attractive; when it costs a $299/month subscription, compliance becomes the path of least resistance. Second, our GPS polygon verification and geolocation engine creates a digital audit trail that makes deforestation detectable and attributable, enabling enforcement rather than just reporting. Third, by providing government agencies with national EUDR-readiness monitoring dashboards, we enable systemic oversight rather than spot-check enforcement. Together, these mechanisms shift the coffee sector from a model where deforestation is hard to detect and easy to deny, to one where every hectare of coffee-producing land is geolocated, verified, and documented — making forest clearance visible, traceable, and consequential.</w:t>
      </w:r>
    </w:p>
    <w:p>
      <w:pPr>
        <w:spacing w:after="160" w:before="60" w:line="280"/>
      </w:pPr>
      <w:r>
        <w:rPr>
          <w:rFonts w:ascii="Calibri" w:eastAsia="Microsoft YaHei"/>
          <w:i/>
          <w:iCs/>
          <w:color w:val="507060"/>
          <w:sz w:val="18"/>
          <w:szCs w:val="18"/>
        </w:rPr>
        <w:t xml:space="preserve">[Word count: ~139]</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5. Quantitative Impact Metrics</w:t>
      </w:r>
    </w:p>
    <w:p>
      <w:pPr>
        <w:spacing w:after="100" w:before="280" w:line="312"/>
      </w:pPr>
      <w:r>
        <w:rPr>
          <w:rFonts w:ascii="Calibri" w:eastAsia="Microsoft YaHei"/>
          <w:b/>
          <w:bCs/>
          <w:i/>
          <w:iCs/>
          <w:color w:val="2A7A65"/>
          <w:sz w:val="24"/>
          <w:szCs w:val="24"/>
        </w:rPr>
        <w:t xml:space="preserve">Select: Estimated internally</w:t>
      </w:r>
    </w:p>
    <w:p>
      <w:pPr>
        <w:spacing w:after="120" w:before="80" w:line="312"/>
        <w:ind w:firstLine="0"/>
        <w:jc w:val="both"/>
      </w:pPr>
      <w:r>
        <w:rPr>
          <w:rFonts w:ascii="Calibri" w:eastAsia="Microsoft YaHei"/>
          <w:color w:val="1A2B20"/>
          <w:sz w:val="22"/>
          <w:szCs w:val="22"/>
        </w:rPr>
        <w:t xml:space="preserve">Current estimates (projected based on pilot scope):</w:t>
      </w:r>
    </w:p>
    <w:p>
      <w:pPr>
        <w:spacing w:after="120" w:before="80" w:line="312"/>
        <w:ind w:firstLine="0"/>
        <w:jc w:val="both"/>
      </w:pPr>
      <w:r>
        <w:rPr>
          <w:rFonts w:ascii="Calibri" w:eastAsia="Microsoft YaHei"/>
          <w:b/>
          <w:bCs/>
          <w:color w:val="1A2B20"/>
          <w:sz w:val="22"/>
          <w:szCs w:val="22"/>
        </w:rPr>
        <w:t xml:space="preserve">Hectares under verified geolocation monitoring: </w:t>
      </w:r>
      <w:r>
        <w:rPr>
          <w:rFonts w:ascii="Calibri" w:eastAsia="Microsoft YaHei"/>
          <w:color w:val="1A2B20"/>
          <w:sz w:val="22"/>
          <w:szCs w:val="22"/>
        </w:rPr>
        <w:t xml:space="preserve">~15,000 ha (across pilot cooperatives in Vietnam, Brazil, Ethiopia, Kenya)</w:t>
      </w:r>
    </w:p>
    <w:p>
      <w:pPr>
        <w:spacing w:after="120" w:before="80" w:line="312"/>
        <w:ind w:firstLine="0"/>
        <w:jc w:val="both"/>
      </w:pPr>
      <w:r>
        <w:rPr>
          <w:rFonts w:ascii="Calibri" w:eastAsia="Microsoft YaHei"/>
          <w:b/>
          <w:bCs/>
          <w:color w:val="1A2B20"/>
          <w:sz w:val="22"/>
          <w:szCs w:val="22"/>
        </w:rPr>
        <w:t xml:space="preserve">Deforestation-risk area screened: </w:t>
      </w:r>
      <w:r>
        <w:rPr>
          <w:rFonts w:ascii="Calibri" w:eastAsia="Microsoft YaHei"/>
          <w:color w:val="1A2B20"/>
          <w:sz w:val="22"/>
          <w:szCs w:val="22"/>
        </w:rPr>
        <w:t xml:space="preserve">~45,000 ha (including buffer zones around verified plots)</w:t>
      </w:r>
    </w:p>
    <w:p>
      <w:pPr>
        <w:spacing w:after="120" w:before="80" w:line="312"/>
        <w:ind w:firstLine="0"/>
        <w:jc w:val="both"/>
      </w:pPr>
      <w:r>
        <w:rPr>
          <w:rFonts w:ascii="Calibri" w:eastAsia="Microsoft YaHei"/>
          <w:b/>
          <w:bCs/>
          <w:color w:val="1A2B20"/>
          <w:sz w:val="22"/>
          <w:szCs w:val="22"/>
        </w:rPr>
        <w:t xml:space="preserve">CO₂ emissions avoided from prevented deforestation: </w:t>
      </w:r>
      <w:r>
        <w:rPr>
          <w:rFonts w:ascii="Calibri" w:eastAsia="Microsoft YaHei"/>
          <w:color w:val="1A2B20"/>
          <w:sz w:val="22"/>
          <w:szCs w:val="22"/>
        </w:rPr>
        <w:t xml:space="preserve">~180,000 tonnes CO₂e/year (based on Southeast Asian tropical forest carbon stock of ~120 tC/ha, applying conservative 2.5% deforestation-risk rate)</w:t>
      </w:r>
    </w:p>
    <w:p>
      <w:pPr>
        <w:spacing w:after="120" w:before="80" w:line="312"/>
        <w:ind w:firstLine="0"/>
        <w:jc w:val="both"/>
      </w:pPr>
      <w:r>
        <w:rPr>
          <w:rFonts w:ascii="Calibri" w:eastAsia="Microsoft YaHei"/>
          <w:b/>
          <w:bCs/>
          <w:color w:val="1A2B20"/>
          <w:sz w:val="22"/>
          <w:szCs w:val="22"/>
        </w:rPr>
        <w:t xml:space="preserve">Due Diligence Statements generated: </w:t>
      </w:r>
      <w:r>
        <w:rPr>
          <w:rFonts w:ascii="Calibri" w:eastAsia="Microsoft YaHei"/>
          <w:color w:val="1A2B20"/>
          <w:sz w:val="22"/>
          <w:szCs w:val="22"/>
        </w:rPr>
        <w:t xml:space="preserve">Target 500+ in first operational year</w:t>
      </w:r>
    </w:p>
    <w:p>
      <w:pPr>
        <w:spacing w:after="120" w:before="80" w:line="312"/>
        <w:ind w:firstLine="0"/>
        <w:jc w:val="both"/>
      </w:pPr>
      <w:r>
        <w:rPr>
          <w:rFonts w:ascii="Calibri" w:eastAsia="Microsoft YaHei"/>
          <w:b/>
          <w:bCs/>
          <w:color w:val="1A2B20"/>
          <w:sz w:val="22"/>
          <w:szCs w:val="22"/>
        </w:rPr>
        <w:t xml:space="preserve">Shipment-level compliance coverage: </w:t>
      </w:r>
      <w:r>
        <w:rPr>
          <w:rFonts w:ascii="Calibri" w:eastAsia="Microsoft YaHei"/>
          <w:color w:val="1A2B20"/>
          <w:sz w:val="22"/>
          <w:szCs w:val="22"/>
        </w:rPr>
        <w:t xml:space="preserve">Target 85%+ of participating exporters’ EU-bound shipments</w:t>
      </w:r>
    </w:p>
    <w:p>
      <w:pPr>
        <w:spacing w:after="120" w:before="80" w:line="312"/>
        <w:ind w:firstLine="0"/>
        <w:jc w:val="both"/>
      </w:pPr>
      <w:r>
        <w:rPr>
          <w:rFonts w:ascii="Calibri" w:eastAsia="Microsoft YaHei"/>
          <w:color w:val="1A2B20"/>
          <w:sz w:val="22"/>
          <w:szCs w:val="22"/>
        </w:rPr>
        <w:t xml:space="preserve">Note: These are internal estimates pending validation through pilot deployment. We plan to transition to measured pilot data by Q3 2026 and seek third-party verification within 18 months.</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7. Vietnam Market Entry / Expansion Strategy (150–200 words)</w:t>
      </w:r>
    </w:p>
    <w:p>
      <w:pPr>
        <w:spacing w:after="100" w:before="280" w:line="312"/>
      </w:pPr>
      <w:r>
        <w:rPr>
          <w:rFonts w:ascii="Calibri" w:eastAsia="Microsoft YaHei"/>
          <w:b/>
          <w:bCs/>
          <w:i/>
          <w:iCs/>
          <w:color w:val="2A7A65"/>
          <w:sz w:val="24"/>
          <w:szCs w:val="24"/>
        </w:rPr>
        <w:t xml:space="preserve">Select: Currently operating in Vietnam</w:t>
      </w:r>
    </w:p>
    <w:p>
      <w:pPr>
        <w:spacing w:after="120" w:before="80" w:line="312"/>
        <w:ind w:firstLine="0"/>
        <w:jc w:val="both"/>
      </w:pPr>
      <w:r>
        <w:rPr>
          <w:rFonts w:ascii="Calibri" w:eastAsia="Microsoft YaHei"/>
          <w:color w:val="1A2B20"/>
          <w:sz w:val="22"/>
          <w:szCs w:val="22"/>
        </w:rPr>
        <w:t xml:space="preserve">TerraBrew is already operational in Vietnam with a live tenant deployment and a partnership with a Vietnamese trading company based in Ho Chi Minh City. Our Vietnam strategy has three phases. Phase 1 (current): Deepen our anchor partnership by onboarding the partner’s full supplier network onto the platform, generating production-grade DDS statements for EU-bound shipments, and validating the product in real export workflows. Phase 2 (6–12 months): Expand to additional Vietnamese exporters and cooperatives, leveraging referrals from our anchor partner and the Ministry of Trade’s EUDR readiness programs. We are also engaging with Vietnam’s Coffee and Cocoa Association (VICOFA) to position TerraBrew as recommended compliance infrastructure. Phase 3 (12–24 months): Pursue a B2G engagement with the Ministry of Agriculture and Rural Development (MARD) to provide national EUDR-readiness monitoring, making TerraBrew the compliance backbone for Vietnam’s coffee export sector. Our platform already supports Vietnamese language, VND currency, and local business workflows — we are not adapting a foreign product, we built for Vietnam from day one.</w:t>
      </w:r>
    </w:p>
    <w:p>
      <w:pPr>
        <w:spacing w:after="160" w:before="60" w:line="280"/>
      </w:pPr>
      <w:r>
        <w:rPr>
          <w:rFonts w:ascii="Calibri" w:eastAsia="Microsoft YaHei"/>
          <w:i/>
          <w:iCs/>
          <w:color w:val="507060"/>
          <w:sz w:val="18"/>
          <w:szCs w:val="18"/>
        </w:rPr>
        <w:t xml:space="preserve">[Word count: ~164]</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8. Motivation (150–200 words)</w:t>
      </w:r>
    </w:p>
    <w:p>
      <w:pPr>
        <w:spacing w:after="120" w:before="80" w:line="312"/>
        <w:ind w:firstLine="0"/>
        <w:jc w:val="both"/>
      </w:pPr>
      <w:r>
        <w:rPr>
          <w:rFonts w:ascii="Calibri" w:eastAsia="Microsoft YaHei"/>
          <w:color w:val="1A2B20"/>
          <w:sz w:val="22"/>
          <w:szCs w:val="22"/>
        </w:rPr>
        <w:t xml:space="preserve">We are applying to Climate Tech Catalyst because TerraBrew sits at the exact intersection this program was designed to accelerate: a climate-tech solution addressing a critical environmental challenge (deforestation), with deep relevance to Vietnam’s most important agricultural export, and clear potential for regional and global scale. We need three things that this program is uniquely positioned to provide. First, investment readiness: we have a working product and clear market demand, but need support structuring our fundraise and connecting with climate-focused investors who understand regulatory-tech as climate infrastructure. Second, corporate partnerships: access to Korean and Vietnamese corporate partners in the coffee trade would accelerate our pilot deployments and provide the reference customers needed for scale. Third, government access: as a Ministry of Finance-hosted program, the credibility and connections this program offers could open doors for our B2G strategy with MARD and other Vietnamese government agencies. We are not looking for general startup mentorship — we are looking for the specific strategic leverage that turns a strong product into a category-defining company.</w:t>
      </w:r>
    </w:p>
    <w:p>
      <w:pPr>
        <w:spacing w:after="160" w:before="60" w:line="280"/>
      </w:pPr>
      <w:r>
        <w:rPr>
          <w:rFonts w:ascii="Calibri" w:eastAsia="Microsoft YaHei"/>
          <w:i/>
          <w:iCs/>
          <w:color w:val="507060"/>
          <w:sz w:val="18"/>
          <w:szCs w:val="18"/>
        </w:rPr>
        <w:t xml:space="preserve">[Word count: ~164]</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10. Anything Else You Would Like Us to Know (150 words)</w:t>
      </w:r>
    </w:p>
    <w:p>
      <w:pPr>
        <w:spacing w:after="120" w:before="80" w:line="312"/>
        <w:ind w:firstLine="0"/>
        <w:jc w:val="both"/>
      </w:pPr>
      <w:r>
        <w:rPr>
          <w:rFonts w:ascii="Calibri" w:eastAsia="Microsoft YaHei"/>
          <w:color w:val="1A2B20"/>
          <w:sz w:val="22"/>
          <w:szCs w:val="22"/>
        </w:rPr>
        <w:t xml:space="preserve">Three points worth noting. First, timing: EUDR enforcement is imminent, and the compliance gap in Vietnam’s coffee sector is not a future problem — it is a current crisis. Every month of delayed adoption risks lost shipments and revenue. TerraBrew is not a “climate-tech aspirational” product; it is operational infrastructure for a regulatory deadline that has already passed. Second, our thesis is intentionally contrarian: we believe the next wave of impactful climate-tech will not come from carbon measurement or offset platforms, but from compliance infrastructure that makes environmental regulations enforceable. Regulations without infrastructure are just words. Third, we are building for the 500 million smallholder farmers and their supply chains, not for the 500 tech companies measuring carbon. The impact multiplier is in making compliance accessible to those who can least afford it but need it most.</w:t>
      </w:r>
    </w:p>
    <w:p>
      <w:pPr>
        <w:spacing w:after="160" w:before="60" w:line="280"/>
      </w:pPr>
      <w:r>
        <w:rPr>
          <w:rFonts w:ascii="Calibri" w:eastAsia="Microsoft YaHei"/>
          <w:i/>
          <w:iCs/>
          <w:color w:val="507060"/>
          <w:sz w:val="18"/>
          <w:szCs w:val="18"/>
        </w:rPr>
        <w:t xml:space="preserve">[Word count: ~134]</w:t>
      </w:r>
    </w:p>
    <w:p>
      <w:pPr>
        <w:pBdr>
          <w:bottom w:val="single" w:color="C5D8D0" w:sz="2" w:space="8"/>
        </w:pBdr>
        <w:spacing w:after="200" w:before="200"/>
      </w:pPr>
    </w:p>
    <w:p>
      <w:pPr>
        <w:pStyle w:val="Heading1"/>
        <w:spacing w:after="160" w:before="400" w:line="312"/>
      </w:pPr>
      <w:r>
        <w:rPr>
          <w:rFonts w:ascii="Calibri" w:eastAsia="SimHei"/>
          <w:b/>
          <w:bCs/>
          <w:color w:val="0C1F1A"/>
          <w:sz w:val="32"/>
          <w:szCs w:val="32"/>
        </w:rPr>
        <w:t xml:space="preserve">Appendix: Target Markets — Form Selections</w:t>
      </w:r>
    </w:p>
    <w:p>
      <w:pPr>
        <w:spacing w:after="40" w:before="40" w:line="280"/>
      </w:pPr>
      <w:r>
        <w:rPr>
          <w:rFonts w:ascii="Calibri" w:eastAsia="Microsoft YaHei"/>
          <w:color w:val="2A7A65"/>
          <w:sz w:val="22"/>
          <w:szCs w:val="22"/>
        </w:rPr>
        <w:t xml:space="preserve">☑ </w:t>
      </w:r>
      <w:r>
        <w:rPr>
          <w:rFonts w:ascii="Calibri" w:eastAsia="Microsoft YaHei"/>
          <w:b/>
          <w:bCs/>
          <w:color w:val="1A2B20"/>
          <w:sz w:val="22"/>
          <w:szCs w:val="22"/>
        </w:rPr>
        <w:t xml:space="preserve">Vietnam</w:t>
      </w:r>
    </w:p>
    <w:p>
      <w:pPr>
        <w:spacing w:after="40" w:before="40" w:line="280"/>
      </w:pPr>
      <w:r>
        <w:rPr>
          <w:rFonts w:ascii="Calibri" w:eastAsia="Microsoft YaHei"/>
          <w:color w:val="2A7A65"/>
          <w:sz w:val="22"/>
          <w:szCs w:val="22"/>
        </w:rPr>
        <w:t xml:space="preserve">☑ </w:t>
      </w:r>
      <w:r>
        <w:rPr>
          <w:rFonts w:ascii="Calibri" w:eastAsia="Microsoft YaHei"/>
          <w:b/>
          <w:bCs/>
          <w:color w:val="1A2B20"/>
          <w:sz w:val="22"/>
          <w:szCs w:val="22"/>
        </w:rPr>
        <w:t xml:space="preserve">South Korea</w:t>
      </w:r>
    </w:p>
    <w:p>
      <w:pPr>
        <w:spacing w:after="40" w:before="40" w:line="280"/>
      </w:pPr>
      <w:r>
        <w:rPr>
          <w:rFonts w:ascii="Calibri" w:eastAsia="Microsoft YaHei"/>
          <w:color w:val="2A7A65"/>
          <w:sz w:val="22"/>
          <w:szCs w:val="22"/>
        </w:rPr>
        <w:t xml:space="preserve">☑ </w:t>
      </w:r>
      <w:r>
        <w:rPr>
          <w:rFonts w:ascii="Calibri" w:eastAsia="Microsoft YaHei"/>
          <w:b/>
          <w:bCs/>
          <w:color w:val="1A2B20"/>
          <w:sz w:val="22"/>
          <w:szCs w:val="22"/>
        </w:rPr>
        <w:t xml:space="preserve">Southeast Asia</w:t>
      </w:r>
    </w:p>
    <w:p>
      <w:pPr>
        <w:spacing w:after="40" w:before="40" w:line="280"/>
      </w:pPr>
      <w:r>
        <w:rPr>
          <w:rFonts w:ascii="Calibri" w:eastAsia="Microsoft YaHei"/>
          <w:color w:val="507060"/>
          <w:sz w:val="22"/>
          <w:szCs w:val="22"/>
        </w:rPr>
        <w:t xml:space="preserve">☐ </w:t>
      </w:r>
      <w:r>
        <w:rPr>
          <w:rFonts w:ascii="Calibri" w:eastAsia="Microsoft YaHei"/>
          <w:b w:val="false"/>
          <w:bCs w:val="false"/>
          <w:color w:val="507060"/>
          <w:sz w:val="22"/>
          <w:szCs w:val="22"/>
        </w:rPr>
        <w:t xml:space="preserve">United States</w:t>
      </w:r>
    </w:p>
    <w:p>
      <w:pPr>
        <w:spacing w:after="40" w:before="40" w:line="280"/>
      </w:pPr>
      <w:r>
        <w:rPr>
          <w:rFonts w:ascii="Calibri" w:eastAsia="Microsoft YaHei"/>
          <w:color w:val="2A7A65"/>
          <w:sz w:val="22"/>
          <w:szCs w:val="22"/>
        </w:rPr>
        <w:t xml:space="preserve">☑ </w:t>
      </w:r>
      <w:r>
        <w:rPr>
          <w:rFonts w:ascii="Calibri" w:eastAsia="Microsoft YaHei"/>
          <w:b/>
          <w:bCs/>
          <w:color w:val="1A2B20"/>
          <w:sz w:val="22"/>
          <w:szCs w:val="22"/>
        </w:rPr>
        <w:t xml:space="preserve">Europe</w:t>
      </w:r>
    </w:p>
    <w:p>
      <w:pPr>
        <w:spacing w:after="40" w:before="40" w:line="280"/>
      </w:pPr>
      <w:r>
        <w:rPr>
          <w:rFonts w:ascii="Calibri" w:eastAsia="Microsoft YaHei"/>
          <w:color w:val="507060"/>
          <w:sz w:val="22"/>
          <w:szCs w:val="22"/>
        </w:rPr>
        <w:t xml:space="preserve">☐ </w:t>
      </w:r>
      <w:r>
        <w:rPr>
          <w:rFonts w:ascii="Calibri" w:eastAsia="Microsoft YaHei"/>
          <w:b w:val="false"/>
          <w:bCs w:val="false"/>
          <w:color w:val="507060"/>
          <w:sz w:val="22"/>
          <w:szCs w:val="22"/>
        </w:rPr>
        <w:t xml:space="preserve">Other</w:t>
      </w:r>
    </w:p>
    <w:p>
      <w:pPr>
        <w:spacing w:before="200"/>
      </w:pPr>
    </w:p>
    <w:p>
      <w:pPr>
        <w:pStyle w:val="Heading1"/>
        <w:spacing w:after="160" w:before="400" w:line="312"/>
      </w:pPr>
      <w:r>
        <w:rPr>
          <w:rFonts w:ascii="Calibri" w:eastAsia="SimHei"/>
          <w:b/>
          <w:bCs/>
          <w:color w:val="0C1F1A"/>
          <w:sz w:val="32"/>
          <w:szCs w:val="32"/>
        </w:rPr>
        <w:t xml:space="preserve">Appendix: Support Needs — Form Selections</w:t>
      </w:r>
    </w:p>
    <w:p>
      <w:pPr>
        <w:spacing w:after="40" w:before="40" w:line="280"/>
      </w:pPr>
      <w:r>
        <w:rPr>
          <w:rFonts w:ascii="Calibri" w:eastAsia="Microsoft YaHei"/>
          <w:color w:val="2A7A65"/>
          <w:sz w:val="22"/>
          <w:szCs w:val="22"/>
        </w:rPr>
        <w:t xml:space="preserve">☑ </w:t>
      </w:r>
      <w:r>
        <w:rPr>
          <w:rFonts w:ascii="Calibri" w:eastAsia="Microsoft YaHei"/>
          <w:b/>
          <w:bCs/>
          <w:color w:val="1A2B20"/>
          <w:sz w:val="22"/>
          <w:szCs w:val="22"/>
        </w:rPr>
        <w:t xml:space="preserve">Investment / fundraising support</w:t>
      </w:r>
    </w:p>
    <w:p>
      <w:pPr>
        <w:spacing w:after="40" w:before="40" w:line="280"/>
      </w:pPr>
      <w:r>
        <w:rPr>
          <w:rFonts w:ascii="Calibri" w:eastAsia="Microsoft YaHei"/>
          <w:color w:val="2A7A65"/>
          <w:sz w:val="22"/>
          <w:szCs w:val="22"/>
        </w:rPr>
        <w:t xml:space="preserve">☑ </w:t>
      </w:r>
      <w:r>
        <w:rPr>
          <w:rFonts w:ascii="Calibri" w:eastAsia="Microsoft YaHei"/>
          <w:b/>
          <w:bCs/>
          <w:color w:val="1A2B20"/>
          <w:sz w:val="22"/>
          <w:szCs w:val="22"/>
        </w:rPr>
        <w:t xml:space="preserve">Corporate partnerships / pilot opportunities</w:t>
      </w:r>
    </w:p>
    <w:p>
      <w:pPr>
        <w:spacing w:after="40" w:before="40" w:line="280"/>
      </w:pPr>
      <w:r>
        <w:rPr>
          <w:rFonts w:ascii="Calibri" w:eastAsia="Microsoft YaHei"/>
          <w:color w:val="2A7A65"/>
          <w:sz w:val="22"/>
          <w:szCs w:val="22"/>
        </w:rPr>
        <w:t xml:space="preserve">☑ </w:t>
      </w:r>
      <w:r>
        <w:rPr>
          <w:rFonts w:ascii="Calibri" w:eastAsia="Microsoft YaHei"/>
          <w:b/>
          <w:bCs/>
          <w:color w:val="1A2B20"/>
          <w:sz w:val="22"/>
          <w:szCs w:val="22"/>
        </w:rPr>
        <w:t xml:space="preserve">Market access (Vietnam / Korea)</w:t>
      </w:r>
    </w:p>
    <w:p>
      <w:pPr>
        <w:spacing w:after="40" w:before="40" w:line="280"/>
      </w:pPr>
      <w:r>
        <w:rPr>
          <w:rFonts w:ascii="Calibri" w:eastAsia="Microsoft YaHei"/>
          <w:color w:val="507060"/>
          <w:sz w:val="22"/>
          <w:szCs w:val="22"/>
        </w:rPr>
        <w:t xml:space="preserve">☐ </w:t>
      </w:r>
      <w:r>
        <w:rPr>
          <w:rFonts w:ascii="Calibri" w:eastAsia="Microsoft YaHei"/>
          <w:b w:val="false"/>
          <w:bCs w:val="false"/>
          <w:color w:val="507060"/>
          <w:sz w:val="22"/>
          <w:szCs w:val="22"/>
        </w:rPr>
        <w:t xml:space="preserve">Product validation / commercialization</w:t>
      </w:r>
    </w:p>
    <w:p>
      <w:pPr>
        <w:spacing w:after="40" w:before="40" w:line="280"/>
      </w:pPr>
      <w:r>
        <w:rPr>
          <w:rFonts w:ascii="Calibri" w:eastAsia="Microsoft YaHei"/>
          <w:color w:val="507060"/>
          <w:sz w:val="22"/>
          <w:szCs w:val="22"/>
        </w:rPr>
        <w:t xml:space="preserve">☐ </w:t>
      </w:r>
      <w:r>
        <w:rPr>
          <w:rFonts w:ascii="Calibri" w:eastAsia="Microsoft YaHei"/>
          <w:b w:val="false"/>
          <w:bCs w:val="false"/>
          <w:color w:val="507060"/>
          <w:sz w:val="22"/>
          <w:szCs w:val="22"/>
        </w:rPr>
        <w:t xml:space="preserve">Mentorship / strategic guidance</w:t>
      </w:r>
    </w:p>
    <w:p>
      <w:pPr>
        <w:spacing w:after="40" w:before="40" w:line="280"/>
      </w:pPr>
      <w:r>
        <w:rPr>
          <w:rFonts w:ascii="Calibri" w:eastAsia="Microsoft YaHei"/>
          <w:color w:val="507060"/>
          <w:sz w:val="22"/>
          <w:szCs w:val="22"/>
        </w:rPr>
        <w:t xml:space="preserve">☐ </w:t>
      </w:r>
      <w:r>
        <w:rPr>
          <w:rFonts w:ascii="Calibri" w:eastAsia="Microsoft YaHei"/>
          <w:b w:val="false"/>
          <w:bCs w:val="false"/>
          <w:color w:val="507060"/>
          <w:sz w:val="22"/>
          <w:szCs w:val="22"/>
        </w:rPr>
        <w:t xml:space="preserve">Other</w:t>
      </w:r>
    </w:p>
    <w:sectPr>
      <w:headerReference w:type="default" r:id="rId7"/>
      <w:footerReference w:type="default" r:id="rId8"/>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70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507060"/>
        <w:sz w:val="16"/>
        <w:szCs w:val="16"/>
      </w:rPr>
      <w:t xml:space="preserve">TerraBrew — Climate Tech Catalyst Application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2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12"/>
    </w:pPr>
    <w:rPr>
      <w:rFonts w:ascii="Calibri" w:eastAsia="SimHei"/>
      <w:b/>
      <w:bCs/>
      <w:color w:val="0C1F1A"/>
      <w:sz w:val="32"/>
      <w:szCs w:val="32"/>
    </w:rPr>
  </w:style>
  <w:style w:type="paragraph" w:styleId="Heading2">
    <w:name w:val="Heading 2"/>
    <w:basedOn w:val="Normal"/>
    <w:next w:val="Normal"/>
    <w:qFormat/>
    <w:pPr>
      <w:spacing w:after="120" w:before="300" w:line="312"/>
    </w:pPr>
    <w:rPr>
      <w:rFonts w:ascii="Calibri" w:eastAsia="SimHei"/>
      <w:b/>
      <w:bCs/>
      <w:color w:val="0C1F1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2026-05-21T14:16:36.820Z</dcterms:created>
  <dcterms:modified xsi:type="dcterms:W3CDTF">2026-05-21T14:16:36.821Z</dcterms:modified>
</cp:coreProperties>
</file>

<file path=docProps/custom.xml><?xml version="1.0" encoding="utf-8"?>
<Properties xmlns="http://schemas.openxmlformats.org/officeDocument/2006/custom-properties" xmlns:vt="http://schemas.openxmlformats.org/officeDocument/2006/docPropsVTypes"/>
</file>