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3200" w:hRule="exact"/>
        </w:trPr>
        <w:tc>
          <w:tcPr>
            <w:shd w:fill="1A2330" w:val="clear"/>
            <w:tcMar>
              <w:top w:type="dxa" w:w="0"/>
              <w:left w:type="dxa" w:w="1200"/>
              <w:bottom w:type="dxa" w:w="0"/>
              <w:right w:type="dxa" w:w="1200"/>
            </w:tcMar>
            <w:vAlign w:val="top"/>
          </w:tcPr>
          <w:p>
            <w:pPr>
              <w:spacing w:before="1200" w:line="920" w:lineRule="atLeast"/>
            </w:pPr>
            <w:r>
              <w:rPr>
                <w:rFonts w:ascii="Times New Roman"/>
                <w:b/>
                <w:bCs/>
                <w:color w:val="FFFFFF"/>
                <w:sz w:val="80"/>
                <w:szCs w:val="80"/>
              </w:rPr>
              <w:t xml:space="preserve">Terra Brew</w:t>
            </w:r>
            <w:r>
              <w:rPr>
                <w:rFonts w:ascii="Times New Roman"/>
                <w:b/>
                <w:bCs/>
                <w:color w:val="FFFFFF"/>
                <w:sz w:val="80"/>
                <w:szCs w:val="80"/>
              </w:rPr>
              <w:t xml:space="preserve"> Strategic</w:t>
            </w:r>
            <w:r>
              <w:rPr>
                <w:rFonts w:ascii="Times New Roman"/>
                <w:b/>
                <w:bCs/>
                <w:color w:val="FFFFFF"/>
                <w:sz w:val="80"/>
                <w:szCs w:val="80"/>
              </w:rPr>
              <w:t xml:space="preserve"> Repositioning Plan</w:t>
            </w:r>
          </w:p>
          <w:p>
            <w:pPr>
              <w:spacing w:after="100" w:before="200" w:line="400" w:lineRule="atLeast"/>
            </w:pPr>
            <w:r>
              <w:rPr>
                <w:rFonts w:ascii="Times New Roman"/>
                <w:color w:val="B0B8C0"/>
                <w:sz w:val="26"/>
                <w:szCs w:val="26"/>
              </w:rPr>
              <w:t xml:space="preserve">From Traceability Tool to EUDR Compliance Operating System for Coffee Trade</w:t>
            </w:r>
          </w:p>
        </w:tc>
      </w:tr>
    </w:tbl>
    <w:p>
      <w:pPr>
        <w:pBdr>
          <w:bottom w:val="single" w:color="D4875A" w:sz="12" w:space="4"/>
        </w:pBdr>
        <w:spacing w:after="0" w:before="0"/>
        <w:ind w:left="1200" w:right="1200"/>
      </w:pPr>
    </w:p>
    <w:p>
      <w:pPr>
        <w:spacing w:after="80" w:before="400" w:line="312"/>
        <w:ind w:left="1200"/>
      </w:pPr>
      <w:r>
        <w:rPr>
          <w:rFonts w:ascii="Times New Roman"/>
          <w:color w:val="90989F"/>
          <w:sz w:val="22"/>
          <w:szCs w:val="22"/>
        </w:rPr>
        <w:t xml:space="preserve">Prepared by: Terra Brew Product Team</w:t>
      </w:r>
    </w:p>
    <w:p>
      <w:pPr>
        <w:spacing w:after="80" w:before="120" w:line="312"/>
        <w:ind w:left="1200"/>
      </w:pPr>
      <w:r>
        <w:rPr>
          <w:rFonts w:ascii="Times New Roman"/>
          <w:color w:val="90989F"/>
          <w:sz w:val="22"/>
          <w:szCs w:val="22"/>
        </w:rPr>
        <w:t xml:space="preserve">Date: May 2026</w:t>
      </w:r>
    </w:p>
    <w:p>
      <w:pPr>
        <w:spacing w:after="80" w:before="120" w:line="312"/>
        <w:ind w:left="1200"/>
      </w:pPr>
      <w:r>
        <w:rPr>
          <w:rFonts w:ascii="Times New Roman"/>
          <w:color w:val="90989F"/>
          <w:sz w:val="22"/>
          <w:szCs w:val="22"/>
        </w:rPr>
        <w:t xml:space="preserve">Classification: Internal Strategy</w:t>
      </w:r>
    </w:p>
    <w:p>
      <w:pPr>
        <w:spacing w:after="80" w:before="120" w:line="312"/>
        <w:ind w:left="1200"/>
      </w:pPr>
      <w:r>
        <w:rPr>
          <w:rFonts w:ascii="Times New Roman"/>
          <w:color w:val="90989F"/>
          <w:sz w:val="22"/>
          <w:szCs w:val="22"/>
        </w:rPr>
        <w:t xml:space="preserve">Version: 1.0</w:t>
      </w:r>
    </w:p>
    <w:p>
      <w:pPr>
        <w:spacing w:before="1600"/>
        <w:ind w:left="1200"/>
      </w:pPr>
      <w:r>
        <w:rPr>
          <w:rFonts w:ascii="Times New Roman"/>
          <w:color w:val="687078"/>
          <w:sz w:val="20"/>
          <w:szCs w:val="20"/>
        </w:rPr>
        <w:t xml:space="preserve">Terra Brew  |  Confidential  |  2026</w:t>
      </w:r>
    </w:p>
    <w:p>
      <w:pPr>
        <w:sectPr>
          <w:pgSz w:w="11906" w:h="16838" w:orient="portrait"/>
          <w:pgMar w:top="0" w:right="0" w:bottom="0" w:left="0" w:header="708" w:footer="708" w:gutter="0"/>
          <w:pgNumType/>
          <w:docGrid w:linePitch="360"/>
        </w:sectPr>
      </w:pPr>
    </w:p>
    <w:p>
      <w:pPr>
        <w:spacing w:after="400" w:before="200"/>
      </w:pPr>
      <w:r>
        <w:rPr>
          <w:rFonts w:ascii="Times New Roman"/>
          <w:b/>
          <w:bCs/>
          <w:color w:val="1A2330"/>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Current State: What We Built vs. What We Should Sell</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What We Built (Technical Reality)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What We Should Sell (Business Reality)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The Honest Diagnosis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The Repositioning: From 'Traceability' to 'Compliance 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New One-Line Positioning</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Hero Value Proposition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Who This Is For (Target Buyer Personas)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4. Value Bucket Architecture: 35 Modules to 5 Buckets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4.1 Bucket 1: Farm Data Capture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4.2 Bucket 2: Processing &amp; Quality</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4.3 Bucket 3: Compliance &amp; Certification (HERO BUCKET)</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4.4 Bucket 4: Trade &amp; Contracts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4.5 Bucket 5: Operations &amp; Administration</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5. EUDR as Entry Point Strategy</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Why EUDR Is the Sales Trigger</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EUDR Compliance Flow in Terra Brew</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Landing Page: EUDR-First Messaging</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6. User Journey Maps: Who Does What</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6.1 Producer (Farm / Cooperative)</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6.2 Aggregator (Cooperative / Mill)</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6.3 Exporter</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6.4 Importer (Buyer)</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6.5 Certification Body</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6.6 Laboratory</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7. Data Flow Architecture: How Data Travels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7.1 The Seed-to-Cup Data Chain</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7.2 Cross-Tenant Data Exchange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7.3 Data Entry vs. Data Consumption by Role</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8. Landing Page Redesign Strategy</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8.1 Narrative Structure: Problem-Stakes-Solution-How-Proof</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8.2 Hero Section Rewrite</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8.3 Value Bucket Presentation on Landing Page</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9. Go-to-Market Roadmap</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9.1 Phase 1: Compliance-First Launch (Weeks 1-4)</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9.2 Phase 2: Guided Onboarding (Weeks 5-8)</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9.3 Phase 3: Sales Enablement (Weeks 9-12)</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10. Implementation Priority Matrix</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10.1 What NOT to Build</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10.2 Success Metrics</w:t>
            </w:r>
            <w:r>
              <w:tab/>
            </w:r>
            <w:r>
              <w:fldChar w:fldCharType="begin"/>
            </w:r>
            <w:r>
              <w:instrText xml:space="preserve"> PAGEREF _Toc100040 \h </w:instrText>
            </w:r>
            <w:r>
              <w:fldChar w:fldCharType="separate"/>
            </w:r>
            <w:r>
              <w:t>17</w:t>
            </w:r>
            <w:r>
              <w:fldChar w:fldCharType="end"/>
            </w:r>
          </w:hyperlink>
        </w:p>
        <w:p>
          <w:r>
            <w:fldChar w:fldCharType="end"/>
          </w:r>
        </w:p>
      </w:sdtContent>
    </w:sdt>
    <w:p>
      <w:pPr>
        <w:spacing w:before="200"/>
      </w:pPr>
      <w:r>
        <w:rPr>
          <w:rFonts w:ascii="Times New Roman"/>
          <w:i/>
          <w:iCs/>
          <w:color w:val="808080"/>
          <w:sz w:val="20"/>
          <w:szCs w:val="20"/>
        </w:rPr>
        <w:t xml:space="preserve">Note: 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1A2330"/>
          <w:sz w:val="32"/>
          <w:szCs w:val="32"/>
        </w:rPr>
        <w:t xml:space="preserve">1. Executive Summary</w:t>
      </w:r>
      <w:bookmarkEnd w:id="100000"/>
    </w:p>
    <w:p>
      <w:pPr>
        <w:spacing w:after="80" w:line="312"/>
        <w:jc w:val="both"/>
      </w:pPr>
      <w:r>
        <w:rPr>
          <w:rFonts w:ascii="Times New Roman"/>
          <w:color w:val="000000"/>
          <w:sz w:val="24"/>
          <w:szCs w:val="24"/>
        </w:rPr>
        <w:t xml:space="preserve">Terra Brew has built an enterprise-grade, multi-tenant platform covering 35 modules across the entire coffee supply chain, from farm-level data capture to cross-border trade settlement. The technical architecture is sound: 7 entity types, 8 role-based access levels, blockchain audit trails, EUDR compliance, and 5-language internationalization. No competitor in the coffee traceability space has built anything this comprehensive.</w:t>
      </w:r>
    </w:p>
    <w:p>
      <w:pPr>
        <w:spacing w:after="80" w:line="312"/>
        <w:jc w:val="both"/>
      </w:pPr>
      <w:r>
        <w:rPr>
          <w:rFonts w:ascii="Times New Roman"/>
          <w:color w:val="000000"/>
          <w:sz w:val="24"/>
          <w:szCs w:val="24"/>
        </w:rPr>
        <w:t xml:space="preserve">However, the current product suffers from a critical positioning problem. It presents itself as a 'coffee traceability platform' which sounds indistinguishable from dozens of competitors. The messaging leads with architecture ('7 entity types, 35 modules, role-based access') rather than the business pain that drives adoption: EUDR compliance penalties. The user experience exposes all 35 modules upfront, creating cognitive overload for buyers who simply need to know: 'Will this keep me compliant and operational?'</w:t>
      </w:r>
    </w:p>
    <w:p>
      <w:pPr>
        <w:spacing w:after="80" w:line="312"/>
        <w:jc w:val="both"/>
      </w:pPr>
      <w:r>
        <w:rPr>
          <w:rFonts w:ascii="Times New Roman"/>
          <w:b w:val="false"/>
          <w:bCs w:val="false"/>
          <w:color w:val="000000"/>
          <w:sz w:val="24"/>
          <w:szCs w:val="24"/>
        </w:rPr>
        <w:t xml:space="preserve">This document proposes a strategic repositioning: </w:t>
      </w:r>
      <w:r>
        <w:rPr>
          <w:rFonts w:ascii="Times New Roman"/>
          <w:b/>
          <w:bCs/>
          <w:color w:val="000000"/>
          <w:sz w:val="24"/>
          <w:szCs w:val="24"/>
        </w:rPr>
        <w:t xml:space="preserve">Terra Brew is not a traceability tool. It is the EUDR Compliance and Supply Chain Operating System for Coffee Trade.</w:t>
      </w:r>
      <w:r>
        <w:rPr>
          <w:rFonts w:ascii="Times New Roman"/>
          <w:b w:val="false"/>
          <w:bCs w:val="false"/>
          <w:color w:val="000000"/>
          <w:sz w:val="24"/>
          <w:szCs w:val="24"/>
        </w:rPr>
        <w:t xml:space="preserve"> This repositioning compresses 35 modules into 5 intuitive value buckets, makes EUDR the hero entry point, and restructures every user journey around the question buyers actually ask: 'How does this protect my business?'</w:t>
      </w:r>
    </w:p>
    <w:p>
      <w:pPr>
        <w:spacing w:after="80" w:line="312"/>
        <w:jc w:val="both"/>
      </w:pPr>
      <w:r>
        <w:rPr>
          <w:rFonts w:ascii="Times New Roman"/>
          <w:color w:val="000000"/>
          <w:sz w:val="24"/>
          <w:szCs w:val="24"/>
        </w:rPr>
        <w:t xml:space="preserve">The repositioning does not remove any features or require re-architecture. It changes how features are presented, navigated, and sold. The underlying 45-model schema and 35 modules remain intact, but users discover them progressively as their needs grow, rather than being overwhelmed on day one.</w:t>
      </w:r>
    </w:p>
    <w:p>
      <w:pPr>
        <w:pStyle w:val="Heading1"/>
        <w:spacing w:after="160" w:before="360" w:line="312"/>
      </w:pPr>
      <w:bookmarkStart w:id="100001" w:name="_Toc100001"/>
      <w:r>
        <w:rPr>
          <w:rFonts w:ascii="Times New Roman"/>
          <w:b/>
          <w:bCs/>
          <w:color w:val="1A2330"/>
          <w:sz w:val="32"/>
          <w:szCs w:val="32"/>
        </w:rPr>
        <w:t xml:space="preserve">2. Current State: What We Built vs. What We Should Sell</w:t>
      </w:r>
      <w:bookmarkEnd w:id="100001"/>
    </w:p>
    <w:p>
      <w:pPr>
        <w:pStyle w:val="Heading2"/>
        <w:spacing w:after="120" w:before="280" w:line="312"/>
      </w:pPr>
      <w:bookmarkStart w:id="100002" w:name="_Toc100002"/>
      <w:r>
        <w:rPr>
          <w:rFonts w:ascii="Times New Roman"/>
          <w:b/>
          <w:bCs/>
          <w:color w:val="1A2330"/>
          <w:sz w:val="28"/>
          <w:szCs w:val="28"/>
        </w:rPr>
        <w:t xml:space="preserve">2.1 What We Built (Technical Reality)</w:t>
      </w:r>
      <w:bookmarkEnd w:id="100002"/>
    </w:p>
    <w:p>
      <w:pPr>
        <w:spacing w:after="80" w:line="312"/>
        <w:jc w:val="both"/>
      </w:pPr>
      <w:r>
        <w:rPr>
          <w:rFonts w:ascii="Times New Roman"/>
          <w:color w:val="000000"/>
          <w:sz w:val="24"/>
          <w:szCs w:val="24"/>
        </w:rPr>
        <w:t xml:space="preserve">The platform covers the complete coffee supply chain with 35 functional modules organized into 7 navigation groups. The Prisma schema contains 45+ models spanning farm operations, processing, quality control, EUDR compliance, trade, logistics, and blockchain audit. Multi-tenant isolation ensures data sovereignty for each organization, while entity relationships enable cross-tenant data exchange for supply chain visibility.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Dimension</w:t>
            </w:r>
          </w:p>
        </w:tc>
        <w:tc>
          <w:tcPr>
            <w:tcW w:type="pct" w:w="50%"/>
            <w:shd w:fill="D4875A" w:val="clear"/>
            <w:tcMar>
              <w:top w:type="dxa" w:w="60"/>
              <w:left w:type="dxa" w:w="120"/>
              <w:bottom w:type="dxa" w:w="60"/>
              <w:right w:type="dxa" w:w="120"/>
            </w:tcMar>
          </w:tcPr>
          <w:p>
            <w:r>
              <w:rPr>
                <w:rFonts w:ascii="Times New Roman"/>
                <w:b/>
                <w:bCs/>
                <w:color w:val="FFFFFF"/>
                <w:sz w:val="21"/>
                <w:szCs w:val="21"/>
              </w:rPr>
              <w:t xml:space="preserve">Current State</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Assessment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Entity Types</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7 (producer, aggregator, exporter, importer, buyer, certification_body, laboratory)</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Comprehensive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User Roles</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8 (tenant_admin, operations_manager, field_officer, quality_controller, trader, finance_manager, buyer, viewer)</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Complete</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Modules</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35 across 7 navigation groups</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Overwhelming for buyers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Data Models</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45+ Prisma models</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Enterprise-grade</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EUDR Coverage</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GPS verification, deforestation assessment, due diligence statements, TRACES integration</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Strongest feature, under-leveraged</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Trading</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RFQ, escrow, smart contracts, cross-border, logistics, product monitoring</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Unique in this category</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i18n</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5 languages (vi, en, pt, am, sw)</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Market-ready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Blockchain Audit</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Hash chain blocks, QR verification, immutable audit log</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Trust differentiator</w:t>
            </w:r>
          </w:p>
        </w:tc>
      </w:tr>
    </w:tbl>
    <w:p>
      <w:pPr>
        <w:pStyle w:val="Heading2"/>
        <w:spacing w:after="120" w:before="280" w:line="312"/>
      </w:pPr>
      <w:bookmarkStart w:id="100003" w:name="_Toc100003"/>
      <w:r>
        <w:rPr>
          <w:rFonts w:ascii="Times New Roman"/>
          <w:b/>
          <w:bCs/>
          <w:color w:val="1A2330"/>
          <w:sz w:val="28"/>
          <w:szCs w:val="28"/>
        </w:rPr>
        <w:t xml:space="preserve">2.2 What We Should Sell (Business Reality)</w:t>
      </w:r>
      <w:bookmarkEnd w:id="100003"/>
    </w:p>
    <w:p>
      <w:pPr>
        <w:spacing w:after="80" w:line="312"/>
        <w:jc w:val="both"/>
      </w:pPr>
      <w:r>
        <w:rPr>
          <w:rFonts w:ascii="Times New Roman"/>
          <w:color w:val="000000"/>
          <w:sz w:val="24"/>
          <w:szCs w:val="24"/>
        </w:rPr>
        <w:t xml:space="preserve">Buyers of this platform are not evaluating architectural elegance. They are evaluating risk: the risk of EUDR penalties, the risk of supply chain opacity, the risk of quality failures reaching their customers. The current positioning speaks to the CTO; it needs to speak to the CEO and the compliance officer first, and let the CTO discover the architecture later.</w:t>
      </w:r>
    </w:p>
    <w:p>
      <w:pPr>
        <w:spacing w:after="80" w:line="312"/>
        <w:jc w:val="both"/>
      </w:pPr>
      <w:r>
        <w:rPr>
          <w:rFonts w:ascii="Times New Roman"/>
          <w:color w:val="000000"/>
          <w:sz w:val="24"/>
          <w:szCs w:val="24"/>
        </w:rPr>
        <w:t xml:space="preserve">The core misalignment is that Terra Brew explains itself inside-out (architecture, then features, then value) when buyers decide outside-in (problem, then stakes, then solution). A coffee exporter in Vietnam does not wake up thinking about 'multi-tenant module visibility matrices.' They wake up thinking about the December 2025 EUDR enforcement deadline and whether their GPS polygon data will pass EU customs. The platform that answers that question first wins the contract.</w:t>
      </w:r>
    </w:p>
    <w:p>
      <w:pPr>
        <w:pStyle w:val="Heading2"/>
        <w:spacing w:after="120" w:before="280" w:line="312"/>
      </w:pPr>
      <w:bookmarkStart w:id="100004" w:name="_Toc100004"/>
      <w:r>
        <w:rPr>
          <w:rFonts w:ascii="Times New Roman"/>
          <w:b/>
          <w:bCs/>
          <w:color w:val="1A2330"/>
          <w:sz w:val="28"/>
          <w:szCs w:val="28"/>
        </w:rPr>
        <w:t xml:space="preserve">2.3 The Honest Diagnosis</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b/>
                <w:bCs/>
                <w:color w:val="FFFFFF"/>
                <w:sz w:val="21"/>
                <w:szCs w:val="21"/>
              </w:rPr>
              <w:t xml:space="preserve">Problem</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Impact</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Fix Strategy</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Positioned as 'traceability platform'</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Sounds like every competitor; no differentiation</w:t>
            </w:r>
          </w:p>
        </w:tc>
        <w:tc>
          <w:tcPr>
            <w:tcW w:type="pct" w:w="40%"/>
            <w:shd w:fill="F8F0EB" w:val="clear"/>
            <w:tcMar>
              <w:top w:type="dxa" w:w="60"/>
              <w:left w:type="dxa" w:w="120"/>
              <w:bottom w:type="dxa" w:w="60"/>
              <w:right w:type="dxa" w:w="120"/>
            </w:tcMar>
          </w:tcPr>
          <w:p>
            <w:r>
              <w:rPr>
                <w:rFonts w:ascii="Times New Roman"/>
                <w:color w:val="000000"/>
                <w:sz w:val="21"/>
                <w:szCs w:val="21"/>
              </w:rPr>
              <w:t xml:space="preserve">Reposition as 'EUDR Compliance OS'</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35 modules exposed upfront</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Cognitive overload; feels complex and expensive</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Compress to 5 value buckets; progressive disclosure</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Messaging leads with architecture</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Buyers tune out before hearing the value</w:t>
            </w:r>
          </w:p>
        </w:tc>
        <w:tc>
          <w:tcPr>
            <w:tcW w:type="pct" w:w="40%"/>
            <w:shd w:fill="F8F0EB" w:val="clear"/>
            <w:tcMar>
              <w:top w:type="dxa" w:w="60"/>
              <w:left w:type="dxa" w:w="120"/>
              <w:bottom w:type="dxa" w:w="60"/>
              <w:right w:type="dxa" w:w="120"/>
            </w:tcMar>
          </w:tcPr>
          <w:p>
            <w:r>
              <w:rPr>
                <w:rFonts w:ascii="Times New Roman"/>
                <w:color w:val="000000"/>
                <w:sz w:val="21"/>
                <w:szCs w:val="21"/>
              </w:rPr>
              <w:t xml:space="preserve">Lead with EUDR penalty risk, then show solution</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No clear hero value proposition</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Decision-makers cannot quickly assess fit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EUDR compliance as the sharp entry point</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Missing narrative flow</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Jumps from features to compliance randomly</w:t>
            </w:r>
          </w:p>
        </w:tc>
        <w:tc>
          <w:tcPr>
            <w:tcW w:type="pct" w:w="40%"/>
            <w:shd w:fill="F8F0EB" w:val="clear"/>
            <w:tcMar>
              <w:top w:type="dxa" w:w="60"/>
              <w:left w:type="dxa" w:w="120"/>
              <w:bottom w:type="dxa" w:w="60"/>
              <w:right w:type="dxa" w:w="120"/>
            </w:tcMar>
          </w:tcPr>
          <w:p>
            <w:r>
              <w:rPr>
                <w:rFonts w:ascii="Times New Roman"/>
                <w:color w:val="000000"/>
                <w:sz w:val="21"/>
                <w:szCs w:val="21"/>
              </w:rPr>
              <w:t xml:space="preserve">Problem, Stakes, Solution, How, Proof</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Buyer role under-represented</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The paying customer has the least tailored experience</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Full buyer journey with dashboard, orders, compliance status</w:t>
            </w:r>
          </w:p>
        </w:tc>
      </w:tr>
    </w:tbl>
    <w:p>
      <w:pPr>
        <w:pStyle w:val="Heading1"/>
        <w:spacing w:after="160" w:before="360" w:line="312"/>
      </w:pPr>
      <w:bookmarkStart w:id="100005" w:name="_Toc100005"/>
      <w:r>
        <w:rPr>
          <w:rFonts w:ascii="Times New Roman"/>
          <w:b/>
          <w:bCs/>
          <w:color w:val="1A2330"/>
          <w:sz w:val="32"/>
          <w:szCs w:val="32"/>
        </w:rPr>
        <w:t xml:space="preserve">3. The Repositioning: From 'Traceability' to 'Compliance OS'</w:t>
      </w:r>
      <w:bookmarkEnd w:id="100005"/>
    </w:p>
    <w:p>
      <w:pPr>
        <w:pStyle w:val="Heading2"/>
        <w:spacing w:after="120" w:before="280" w:line="312"/>
      </w:pPr>
      <w:bookmarkStart w:id="100006" w:name="_Toc100006"/>
      <w:r>
        <w:rPr>
          <w:rFonts w:ascii="Times New Roman"/>
          <w:b/>
          <w:bCs/>
          <w:color w:val="1A2330"/>
          <w:sz w:val="28"/>
          <w:szCs w:val="28"/>
        </w:rPr>
        <w:t xml:space="preserve">3.1 New One-Line Positioning</w:t>
      </w:r>
      <w:bookmarkEnd w:id="100006"/>
    </w:p>
    <w:p>
      <w:pPr>
        <w:spacing w:after="80" w:line="312"/>
        <w:jc w:val="both"/>
      </w:pPr>
      <w:r>
        <w:rPr>
          <w:rFonts w:ascii="Times New Roman"/>
          <w:b/>
          <w:bCs/>
          <w:color w:val="000000"/>
          <w:sz w:val="24"/>
          <w:szCs w:val="24"/>
        </w:rPr>
        <w:t xml:space="preserve">Current: </w:t>
      </w:r>
      <w:r>
        <w:rPr>
          <w:rFonts w:ascii="Times New Roman"/>
          <w:i/>
          <w:iCs/>
          <w:color w:val="000000"/>
          <w:sz w:val="24"/>
          <w:szCs w:val="24"/>
        </w:rPr>
        <w:t xml:space="preserve">"Coffee Traceability Platform"</w:t>
      </w:r>
      <w:r>
        <w:rPr>
          <w:rFonts w:ascii="Times New Roman"/>
          <w:b w:val="false"/>
          <w:bCs w:val="false"/>
          <w:color w:val="000000"/>
          <w:sz w:val="24"/>
          <w:szCs w:val="24"/>
        </w:rPr>
        <w:t xml:space="preserve">  --  </w:t>
      </w:r>
      <w:r>
        <w:rPr>
          <w:rFonts w:ascii="Times New Roman"/>
          <w:i/>
          <w:iCs/>
          <w:color w:val="000000"/>
          <w:sz w:val="24"/>
          <w:szCs w:val="24"/>
        </w:rPr>
        <w:t xml:space="preserve">sounds generic, competes with dozens of tools</w:t>
      </w:r>
    </w:p>
    <w:p>
      <w:pPr>
        <w:spacing w:after="80" w:line="312"/>
        <w:jc w:val="both"/>
      </w:pPr>
      <w:r>
        <w:rPr>
          <w:rFonts w:ascii="Times New Roman"/>
          <w:b/>
          <w:bCs/>
          <w:color w:val="000000"/>
          <w:sz w:val="24"/>
          <w:szCs w:val="24"/>
        </w:rPr>
        <w:t xml:space="preserve">Repositioned: </w:t>
      </w:r>
      <w:r>
        <w:rPr>
          <w:rFonts w:ascii="Times New Roman"/>
          <w:i/>
          <w:iCs/>
          <w:color w:val="000000"/>
          <w:sz w:val="24"/>
          <w:szCs w:val="24"/>
        </w:rPr>
        <w:t xml:space="preserve">"EUDR Compliance &amp; Supply Chain Operating System for Coffee Trade"</w:t>
      </w:r>
      <w:r>
        <w:rPr>
          <w:rFonts w:ascii="Times New Roman"/>
          <w:b w:val="false"/>
          <w:bCs w:val="false"/>
          <w:color w:val="000000"/>
          <w:sz w:val="24"/>
          <w:szCs w:val="24"/>
        </w:rPr>
        <w:t xml:space="preserve">  --  </w:t>
      </w:r>
      <w:r>
        <w:rPr>
          <w:rFonts w:ascii="Times New Roman"/>
          <w:i/>
          <w:iCs/>
          <w:color w:val="000000"/>
          <w:sz w:val="24"/>
          <w:szCs w:val="24"/>
        </w:rPr>
        <w:t xml:space="preserve">creates a new category, positions around a regulatory mandate</w:t>
      </w:r>
    </w:p>
    <w:p>
      <w:pPr>
        <w:spacing w:after="80" w:line="312"/>
        <w:jc w:val="both"/>
      </w:pPr>
      <w:r>
        <w:rPr>
          <w:rFonts w:ascii="Times New Roman"/>
          <w:color w:val="000000"/>
          <w:sz w:val="24"/>
          <w:szCs w:val="24"/>
        </w:rPr>
        <w:t xml:space="preserve">This is not a branding exercise. It is a category creation strategy. When you say 'traceability platform,' buyers compare you against every farm management app and QR code scanner. When you say 'EUDR Compliance OS,' you occupy a category where the competition is 'manual compliance spreadsheets and fear of penalties.' The buyer's frame of reference shifts from 'which traceability tool?' to 'how do I avoid EUDR fines?' and Terra Brew becomes the obvious answer.</w:t>
      </w:r>
    </w:p>
    <w:p>
      <w:pPr>
        <w:pStyle w:val="Heading2"/>
        <w:spacing w:after="120" w:before="280" w:line="312"/>
      </w:pPr>
      <w:bookmarkStart w:id="100007" w:name="_Toc100007"/>
      <w:r>
        <w:rPr>
          <w:rFonts w:ascii="Times New Roman"/>
          <w:b/>
          <w:bCs/>
          <w:color w:val="1A2330"/>
          <w:sz w:val="28"/>
          <w:szCs w:val="28"/>
        </w:rPr>
        <w:t xml:space="preserve">3.2 Hero Value Proposition</w:t>
      </w:r>
      <w:bookmarkEnd w:id="100007"/>
    </w:p>
    <w:p>
      <w:pPr>
        <w:spacing w:after="80" w:line="312"/>
        <w:jc w:val="both"/>
      </w:pPr>
      <w:r>
        <w:rPr>
          <w:rFonts w:ascii="Times New Roman"/>
          <w:color w:val="000000"/>
          <w:sz w:val="24"/>
          <w:szCs w:val="24"/>
        </w:rPr>
        <w:t xml:space="preserve">The hero value proposition must answer the buyer's first question in under 10 seconds. Based on market analysis, the most powerful positioning combines regulatory urgency with operational benefit:</w:t>
      </w:r>
    </w:p>
    <w:p>
      <w:pPr>
        <w:spacing w:after="80" w:line="312"/>
        <w:jc w:val="both"/>
      </w:pPr>
      <w:r>
        <w:rPr>
          <w:rFonts w:ascii="Times New Roman"/>
          <w:b/>
          <w:bCs/>
          <w:color w:val="000000"/>
          <w:sz w:val="24"/>
          <w:szCs w:val="24"/>
        </w:rPr>
        <w:t xml:space="preserve">Primary: </w:t>
      </w:r>
      <w:r>
        <w:rPr>
          <w:rFonts w:ascii="Times New Roman"/>
          <w:b w:val="false"/>
          <w:bCs w:val="false"/>
          <w:color w:val="000000"/>
          <w:sz w:val="24"/>
          <w:szCs w:val="24"/>
        </w:rPr>
        <w:t xml:space="preserve">"If you export coffee to the EU, you need this. Terra Brew ensures EUDR compliance with GPS-based deforestation verification, automated due diligence statements, and end-to-end supply chain traceability from farm to buyer."</w:t>
      </w:r>
    </w:p>
    <w:p>
      <w:pPr>
        <w:spacing w:after="80" w:line="312"/>
        <w:jc w:val="both"/>
      </w:pPr>
      <w:r>
        <w:rPr>
          <w:rFonts w:ascii="Times New Roman"/>
          <w:b/>
          <w:bCs/>
          <w:color w:val="000000"/>
          <w:sz w:val="24"/>
          <w:szCs w:val="24"/>
        </w:rPr>
        <w:t xml:space="preserve">Supporting pillars:</w:t>
      </w:r>
    </w:p>
    <w:p>
      <w:pPr>
        <w:pStyle w:val="ListParagraph"/>
        <w:numPr>
          <w:ilvl w:val="0"/>
          <w:numId w:val="1"/>
        </w:numPr>
        <w:spacing w:after="40" w:line="312"/>
      </w:pPr>
      <w:r>
        <w:rPr>
          <w:rFonts w:ascii="Times New Roman"/>
          <w:b/>
          <w:bCs/>
          <w:color w:val="000000"/>
          <w:sz w:val="24"/>
          <w:szCs w:val="24"/>
        </w:rPr>
        <w:t xml:space="preserve">Compliance Guarantee: </w:t>
      </w:r>
      <w:r>
        <w:rPr>
          <w:rFonts w:ascii="Times New Roman"/>
          <w:color w:val="000000"/>
          <w:sz w:val="24"/>
          <w:szCs w:val="24"/>
        </w:rPr>
        <w:t xml:space="preserve">Automated EUDR due diligence with GPS polygon verification, deforestation assessment, and export-ready compliance documents. Zero manual spreadsheet work.</w:t>
      </w:r>
    </w:p>
    <w:p>
      <w:pPr>
        <w:pStyle w:val="ListParagraph"/>
        <w:numPr>
          <w:ilvl w:val="0"/>
          <w:numId w:val="1"/>
        </w:numPr>
        <w:spacing w:after="40" w:line="312"/>
      </w:pPr>
      <w:r>
        <w:rPr>
          <w:rFonts w:ascii="Times New Roman"/>
          <w:b/>
          <w:bCs/>
          <w:color w:val="000000"/>
          <w:sz w:val="24"/>
          <w:szCs w:val="24"/>
        </w:rPr>
        <w:t xml:space="preserve">Supply Chain Visibility: </w:t>
      </w:r>
      <w:r>
        <w:rPr>
          <w:rFonts w:ascii="Times New Roman"/>
          <w:color w:val="000000"/>
          <w:sz w:val="24"/>
          <w:szCs w:val="24"/>
        </w:rPr>
        <w:t xml:space="preserve">Every lot traceable from farmer to buyer with verifiable proof for regulators and customers. Blockchain-anchored audit trail that cannot be disputed.</w:t>
      </w:r>
    </w:p>
    <w:p>
      <w:pPr>
        <w:pStyle w:val="ListParagraph"/>
        <w:numPr>
          <w:ilvl w:val="0"/>
          <w:numId w:val="1"/>
        </w:numPr>
        <w:spacing w:after="40" w:line="312"/>
      </w:pPr>
      <w:r>
        <w:rPr>
          <w:rFonts w:ascii="Times New Roman"/>
          <w:b/>
          <w:bCs/>
          <w:color w:val="000000"/>
          <w:sz w:val="24"/>
          <w:szCs w:val="24"/>
        </w:rPr>
        <w:t xml:space="preserve">Operational Efficiency: </w:t>
      </w:r>
      <w:r>
        <w:rPr>
          <w:rFonts w:ascii="Times New Roman"/>
          <w:color w:val="000000"/>
          <w:sz w:val="24"/>
          <w:szCs w:val="24"/>
        </w:rPr>
        <w:t xml:space="preserve">Capture farm-level data once, automatically reused across compliance, quality, and export documentation. No duplicate data entry across systems.</w:t>
      </w:r>
    </w:p>
    <w:p>
      <w:pPr>
        <w:pStyle w:val="ListParagraph"/>
        <w:numPr>
          <w:ilvl w:val="0"/>
          <w:numId w:val="1"/>
        </w:numPr>
        <w:spacing w:after="40" w:line="312"/>
      </w:pPr>
      <w:r>
        <w:rPr>
          <w:rFonts w:ascii="Times New Roman"/>
          <w:b/>
          <w:bCs/>
          <w:color w:val="000000"/>
          <w:sz w:val="24"/>
          <w:szCs w:val="24"/>
        </w:rPr>
        <w:t xml:space="preserve">Trade Acceleration: </w:t>
      </w:r>
      <w:r>
        <w:rPr>
          <w:rFonts w:ascii="Times New Roman"/>
          <w:color w:val="000000"/>
          <w:sz w:val="24"/>
          <w:szCs w:val="24"/>
        </w:rPr>
        <w:t xml:space="preserve">RFQ, smart contracts, escrow, and cross-border transactions in one system. Reduce deal cycle from weeks to days.</w:t>
      </w:r>
    </w:p>
    <w:p>
      <w:pPr>
        <w:pStyle w:val="Heading2"/>
        <w:spacing w:after="120" w:before="280" w:line="312"/>
      </w:pPr>
      <w:bookmarkStart w:id="100008" w:name="_Toc100008"/>
      <w:r>
        <w:rPr>
          <w:rFonts w:ascii="Times New Roman"/>
          <w:b/>
          <w:bCs/>
          <w:color w:val="1A2330"/>
          <w:sz w:val="28"/>
          <w:szCs w:val="28"/>
        </w:rPr>
        <w:t xml:space="preserve">3.3 Who This Is For (Target Buyer Personas)</w:t>
      </w:r>
      <w:bookmarkEnd w:id="100008"/>
    </w:p>
    <w:p>
      <w:pPr>
        <w:spacing w:after="80" w:line="312"/>
        <w:jc w:val="both"/>
      </w:pPr>
      <w:r>
        <w:rPr>
          <w:rFonts w:ascii="Times New Roman"/>
          <w:color w:val="000000"/>
          <w:sz w:val="24"/>
          <w:szCs w:val="24"/>
        </w:rPr>
        <w:t xml:space="preserve">The critical insight from the original strategy document is correct: farmers are not the customer. Exporters and importers are. They have the budget, the regulatory pressure, and the operational pain that justifies enterprise software spend. The repositioning must reflect this: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b/>
                <w:bCs/>
                <w:color w:val="FFFFFF"/>
                <w:sz w:val="21"/>
                <w:szCs w:val="21"/>
              </w:rPr>
              <w:t xml:space="preserve">Persona</w:t>
            </w:r>
          </w:p>
        </w:tc>
        <w:tc>
          <w:tcPr>
            <w:tcW w:type="pct" w:w="18%"/>
            <w:shd w:fill="D4875A" w:val="clear"/>
            <w:tcMar>
              <w:top w:type="dxa" w:w="60"/>
              <w:left w:type="dxa" w:w="120"/>
              <w:bottom w:type="dxa" w:w="60"/>
              <w:right w:type="dxa" w:w="120"/>
            </w:tcMar>
          </w:tcPr>
          <w:p>
            <w:r>
              <w:rPr>
                <w:rFonts w:ascii="Times New Roman"/>
                <w:b/>
                <w:bCs/>
                <w:color w:val="FFFFFF"/>
                <w:sz w:val="21"/>
                <w:szCs w:val="21"/>
              </w:rPr>
              <w:t xml:space="preserve">Title</w:t>
            </w:r>
          </w:p>
        </w:tc>
        <w:tc>
          <w:tcPr>
            <w:tcW w:type="pct" w:w="22%"/>
            <w:shd w:fill="D4875A" w:val="clear"/>
            <w:tcMar>
              <w:top w:type="dxa" w:w="60"/>
              <w:left w:type="dxa" w:w="120"/>
              <w:bottom w:type="dxa" w:w="60"/>
              <w:right w:type="dxa" w:w="120"/>
            </w:tcMar>
          </w:tcPr>
          <w:p>
            <w:r>
              <w:rPr>
                <w:rFonts w:ascii="Times New Roman"/>
                <w:b/>
                <w:bCs/>
                <w:color w:val="FFFFFF"/>
                <w:sz w:val="21"/>
                <w:szCs w:val="21"/>
              </w:rPr>
              <w:t xml:space="preserve">Primary Pain</w:t>
            </w:r>
          </w:p>
        </w:tc>
        <w:tc>
          <w:tcPr>
            <w:tcW w:type="pct" w:w="22%"/>
            <w:shd w:fill="D4875A" w:val="clear"/>
            <w:tcMar>
              <w:top w:type="dxa" w:w="60"/>
              <w:left w:type="dxa" w:w="120"/>
              <w:bottom w:type="dxa" w:w="60"/>
              <w:right w:type="dxa" w:w="120"/>
            </w:tcMar>
          </w:tcPr>
          <w:p>
            <w:r>
              <w:rPr>
                <w:rFonts w:ascii="Times New Roman"/>
                <w:b/>
                <w:bCs/>
                <w:color w:val="FFFFFF"/>
                <w:sz w:val="21"/>
                <w:szCs w:val="21"/>
              </w:rPr>
              <w:t xml:space="preserve">What They Buy</w:t>
            </w:r>
          </w:p>
        </w:tc>
        <w:tc>
          <w:tcPr>
            <w:tcW w:type="pct" w:w="23%"/>
            <w:shd w:fill="D4875A" w:val="clear"/>
            <w:tcMar>
              <w:top w:type="dxa" w:w="60"/>
              <w:left w:type="dxa" w:w="120"/>
              <w:bottom w:type="dxa" w:w="60"/>
              <w:right w:type="dxa" w:w="120"/>
            </w:tcMar>
          </w:tcPr>
          <w:p>
            <w:r>
              <w:rPr>
                <w:rFonts w:ascii="Times New Roman"/>
                <w:b/>
                <w:bCs/>
                <w:color w:val="FFFFFF"/>
                <w:sz w:val="21"/>
                <w:szCs w:val="21"/>
              </w:rPr>
              <w:t xml:space="preserve">Decision Trigger</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The Compliance Officer</w:t>
            </w:r>
          </w:p>
        </w:tc>
        <w:tc>
          <w:tcPr>
            <w:tcW w:type="pct" w:w="18%"/>
            <w:shd w:fill="F8F0EB" w:val="clear"/>
            <w:tcMar>
              <w:top w:type="dxa" w:w="60"/>
              <w:left w:type="dxa" w:w="120"/>
              <w:bottom w:type="dxa" w:w="60"/>
              <w:right w:type="dxa" w:w="120"/>
            </w:tcMar>
          </w:tcPr>
          <w:p>
            <w:r>
              <w:rPr>
                <w:rFonts w:ascii="Times New Roman"/>
                <w:color w:val="000000"/>
                <w:sz w:val="21"/>
                <w:szCs w:val="21"/>
              </w:rPr>
              <w:t xml:space="preserve">VP Compliance at an EU importer</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EUDR penalties up to 4% of EU revenue</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Automated due diligence + audit trail</w:t>
            </w:r>
          </w:p>
        </w:tc>
        <w:tc>
          <w:tcPr>
            <w:tcW w:type="pct" w:w="23%"/>
            <w:shd w:fill="F8F0EB" w:val="clear"/>
            <w:tcMar>
              <w:top w:type="dxa" w:w="60"/>
              <w:left w:type="dxa" w:w="120"/>
              <w:bottom w:type="dxa" w:w="60"/>
              <w:right w:type="dxa" w:w="120"/>
            </w:tcMar>
          </w:tcPr>
          <w:p>
            <w:r>
              <w:rPr>
                <w:rFonts w:ascii="Times New Roman"/>
                <w:color w:val="000000"/>
                <w:sz w:val="21"/>
                <w:szCs w:val="21"/>
              </w:rPr>
              <w:t xml:space="preserve">Regulatory deadline or failed audit</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The Export Director</w:t>
            </w:r>
          </w:p>
        </w:tc>
        <w:tc>
          <w:tcPr>
            <w:tcW w:type="pct" w:w="18%"/>
            <w:shd w:fill="FFFFFF" w:val="clear"/>
            <w:tcMar>
              <w:top w:type="dxa" w:w="60"/>
              <w:left w:type="dxa" w:w="120"/>
              <w:bottom w:type="dxa" w:w="60"/>
              <w:right w:type="dxa" w:w="120"/>
            </w:tcMar>
          </w:tcPr>
          <w:p>
            <w:r>
              <w:rPr>
                <w:rFonts w:ascii="Times New Roman"/>
                <w:color w:val="000000"/>
                <w:sz w:val="21"/>
                <w:szCs w:val="21"/>
              </w:rPr>
              <w:t xml:space="preserve">Head of Exports at a Vietnam/Brazil exporter</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Buyers demanding traceability proof</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End-to-end traceability + export docs</w:t>
            </w:r>
          </w:p>
        </w:tc>
        <w:tc>
          <w:tcPr>
            <w:tcW w:type="pct" w:w="23%"/>
            <w:shd w:fill="FFFFFF" w:val="clear"/>
            <w:tcMar>
              <w:top w:type="dxa" w:w="60"/>
              <w:left w:type="dxa" w:w="120"/>
              <w:bottom w:type="dxa" w:w="60"/>
              <w:right w:type="dxa" w:w="120"/>
            </w:tcMar>
          </w:tcPr>
          <w:p>
            <w:r>
              <w:rPr>
                <w:rFonts w:ascii="Times New Roman"/>
                <w:color w:val="000000"/>
                <w:sz w:val="21"/>
                <w:szCs w:val="21"/>
              </w:rPr>
              <w:t xml:space="preserve">Lost contract due to missing compliance data</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The Cooperative Manager</w:t>
            </w:r>
          </w:p>
        </w:tc>
        <w:tc>
          <w:tcPr>
            <w:tcW w:type="pct" w:w="18%"/>
            <w:shd w:fill="F8F0EB" w:val="clear"/>
            <w:tcMar>
              <w:top w:type="dxa" w:w="60"/>
              <w:left w:type="dxa" w:w="120"/>
              <w:bottom w:type="dxa" w:w="60"/>
              <w:right w:type="dxa" w:w="120"/>
            </w:tcMar>
          </w:tcPr>
          <w:p>
            <w:r>
              <w:rPr>
                <w:rFonts w:ascii="Times New Roman"/>
                <w:color w:val="000000"/>
                <w:sz w:val="21"/>
                <w:szCs w:val="21"/>
              </w:rPr>
              <w:t xml:space="preserve">GM of a farmer cooperative</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Member data scattered across spreadsheets</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Farm data capture + certification management</w:t>
            </w:r>
          </w:p>
        </w:tc>
        <w:tc>
          <w:tcPr>
            <w:tcW w:type="pct" w:w="23%"/>
            <w:shd w:fill="F8F0EB" w:val="clear"/>
            <w:tcMar>
              <w:top w:type="dxa" w:w="60"/>
              <w:left w:type="dxa" w:w="120"/>
              <w:bottom w:type="dxa" w:w="60"/>
              <w:right w:type="dxa" w:w="120"/>
            </w:tcMar>
          </w:tcPr>
          <w:p>
            <w:r>
              <w:rPr>
                <w:rFonts w:ascii="Times New Roman"/>
                <w:color w:val="000000"/>
                <w:sz w:val="21"/>
                <w:szCs w:val="21"/>
              </w:rPr>
              <w:t xml:space="preserve">Certification renewal or buyer onboarding</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The Trading House</w:t>
            </w:r>
          </w:p>
        </w:tc>
        <w:tc>
          <w:tcPr>
            <w:tcW w:type="pct" w:w="18%"/>
            <w:shd w:fill="FFFFFF" w:val="clear"/>
            <w:tcMar>
              <w:top w:type="dxa" w:w="60"/>
              <w:left w:type="dxa" w:w="120"/>
              <w:bottom w:type="dxa" w:w="60"/>
              <w:right w:type="dxa" w:w="120"/>
            </w:tcMar>
          </w:tcPr>
          <w:p>
            <w:r>
              <w:rPr>
                <w:rFonts w:ascii="Times New Roman"/>
                <w:color w:val="000000"/>
                <w:sz w:val="21"/>
                <w:szCs w:val="21"/>
              </w:rPr>
              <w:t xml:space="preserve">Coffee trader at a global commodity firm</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Manual RFQ process, no supply chain visibility</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Trading desk + smart contracts + monitoring</w:t>
            </w:r>
          </w:p>
        </w:tc>
        <w:tc>
          <w:tcPr>
            <w:tcW w:type="pct" w:w="23%"/>
            <w:shd w:fill="FFFFFF" w:val="clear"/>
            <w:tcMar>
              <w:top w:type="dxa" w:w="60"/>
              <w:left w:type="dxa" w:w="120"/>
              <w:bottom w:type="dxa" w:w="60"/>
              <w:right w:type="dxa" w:w="120"/>
            </w:tcMar>
          </w:tcPr>
          <w:p>
            <w:r>
              <w:rPr>
                <w:rFonts w:ascii="Times New Roman"/>
                <w:color w:val="000000"/>
                <w:sz w:val="21"/>
                <w:szCs w:val="21"/>
              </w:rPr>
              <w:t xml:space="preserve">Competitive pressure from digitized rivals</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The Certifier</w:t>
            </w:r>
          </w:p>
        </w:tc>
        <w:tc>
          <w:tcPr>
            <w:tcW w:type="pct" w:w="18%"/>
            <w:shd w:fill="F8F0EB" w:val="clear"/>
            <w:tcMar>
              <w:top w:type="dxa" w:w="60"/>
              <w:left w:type="dxa" w:w="120"/>
              <w:bottom w:type="dxa" w:w="60"/>
              <w:right w:type="dxa" w:w="120"/>
            </w:tcMar>
          </w:tcPr>
          <w:p>
            <w:r>
              <w:rPr>
                <w:rFonts w:ascii="Times New Roman"/>
                <w:color w:val="000000"/>
                <w:sz w:val="21"/>
                <w:szCs w:val="21"/>
              </w:rPr>
              <w:t xml:space="preserve">Lead auditor at a certification body</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Manual audit process, slow turnaround</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Digital assessment tools + data verification</w:t>
            </w:r>
          </w:p>
        </w:tc>
        <w:tc>
          <w:tcPr>
            <w:tcW w:type="pct" w:w="23%"/>
            <w:shd w:fill="F8F0EB" w:val="clear"/>
            <w:tcMar>
              <w:top w:type="dxa" w:w="60"/>
              <w:left w:type="dxa" w:w="120"/>
              <w:bottom w:type="dxa" w:w="60"/>
              <w:right w:type="dxa" w:w="120"/>
            </w:tcMar>
          </w:tcPr>
          <w:p>
            <w:r>
              <w:rPr>
                <w:rFonts w:ascii="Times New Roman"/>
                <w:color w:val="000000"/>
                <w:sz w:val="21"/>
                <w:szCs w:val="21"/>
              </w:rPr>
              <w:t xml:space="preserve">Client demand for faster certification cycles</w:t>
            </w:r>
          </w:p>
        </w:tc>
      </w:tr>
    </w:tbl>
    <w:p>
      <w:pPr>
        <w:pStyle w:val="Heading1"/>
        <w:spacing w:after="160" w:before="360" w:line="312"/>
      </w:pPr>
      <w:bookmarkStart w:id="100009" w:name="_Toc100009"/>
      <w:r>
        <w:rPr>
          <w:rFonts w:ascii="Times New Roman"/>
          <w:b/>
          <w:bCs/>
          <w:color w:val="1A2330"/>
          <w:sz w:val="32"/>
          <w:szCs w:val="32"/>
        </w:rPr>
        <w:t xml:space="preserve">4. Value Bucket Architecture: 35 Modules to 5 Buckets</w:t>
      </w:r>
      <w:bookmarkEnd w:id="100009"/>
    </w:p>
    <w:p>
      <w:pPr>
        <w:spacing w:after="80" w:line="312"/>
        <w:jc w:val="both"/>
      </w:pPr>
      <w:r>
        <w:rPr>
          <w:rFonts w:ascii="Times New Roman"/>
          <w:color w:val="000000"/>
          <w:sz w:val="24"/>
          <w:szCs w:val="24"/>
        </w:rPr>
        <w:t xml:space="preserve">The most impactful UX change is compressing 35 modules into 5 value buckets. This does not remove any functionality; it reorganizes how users discover and navigate features. Each bucket represents a clear business outcome that maps directly to a buyer's question. Users see 5 top-level navigation items instead of 35, and expand into specific modules only when needed.</w:t>
      </w:r>
    </w:p>
    <w:p>
      <w:pPr>
        <w:pStyle w:val="Heading2"/>
        <w:spacing w:after="120" w:before="280" w:line="312"/>
      </w:pPr>
      <w:bookmarkStart w:id="100010" w:name="_Toc100010"/>
      <w:r>
        <w:rPr>
          <w:rFonts w:ascii="Times New Roman"/>
          <w:b/>
          <w:bCs/>
          <w:color w:val="1A2330"/>
          <w:sz w:val="28"/>
          <w:szCs w:val="28"/>
        </w:rPr>
        <w:t xml:space="preserve">4.1 Bucket 1: Farm Data Capture</w:t>
      </w:r>
      <w:bookmarkEnd w:id="100010"/>
    </w:p>
    <w:p>
      <w:pPr>
        <w:spacing w:after="80" w:line="312"/>
        <w:jc w:val="both"/>
      </w:pPr>
      <w:r>
        <w:rPr>
          <w:rFonts w:ascii="Times New Roman"/>
          <w:color w:val="000000"/>
          <w:sz w:val="24"/>
          <w:szCs w:val="24"/>
        </w:rPr>
        <w:t xml:space="preserve">This bucket addresses the foundational question: 'Can you prove where the coffee comes from?' It covers all farm-level data collection needed for both operational management and compliance verification. The key selling point is that data is captured once at the source and automatically flows downstream to compliance, quality, and export modules, eliminating duplicate data entry and ensuring consistency across the supply chain.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Navigation Group</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Value to Buyer</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Key Models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Farmers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Farmer registry with GPS coordinates and contact data</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Farmer</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Farm Lands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GPS polygon mapping for EUDR deforestation verification</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FarmLand, polygonGeoJson</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Cultivations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Crop variety and planting date tracking</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Cultivation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Nurseries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Seedling source documentation</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Nursery</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Land Preparation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Pre-planting activity records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LandPreparation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Crop Monitoring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Growth stage and health tracking</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CropMonitoring</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Fertilizer Management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Input application records for compliance</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FertilizerApplication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Pest &amp; Disease</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Treatment records for residue compliance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PestDiseaseManagement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Harvest Traceability</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Operations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Lot-level harvest data with yield and quality</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HarvestTraceability</w:t>
            </w:r>
          </w:p>
        </w:tc>
      </w:tr>
    </w:tbl>
    <w:p>
      <w:pPr>
        <w:pStyle w:val="Heading2"/>
        <w:spacing w:after="120" w:before="280" w:line="312"/>
      </w:pPr>
      <w:bookmarkStart w:id="100011" w:name="_Toc100011"/>
      <w:r>
        <w:rPr>
          <w:rFonts w:ascii="Times New Roman"/>
          <w:b/>
          <w:bCs/>
          <w:color w:val="1A2330"/>
          <w:sz w:val="28"/>
          <w:szCs w:val="28"/>
        </w:rPr>
        <w:t xml:space="preserve">4.2 Bucket 2: Processing &amp; Quality</w:t>
      </w:r>
      <w:bookmarkEnd w:id="100011"/>
    </w:p>
    <w:p>
      <w:pPr>
        <w:spacing w:after="80" w:line="312"/>
        <w:jc w:val="both"/>
      </w:pPr>
      <w:r>
        <w:rPr>
          <w:rFonts w:ascii="Times New Roman"/>
          <w:color w:val="000000"/>
          <w:sz w:val="24"/>
          <w:szCs w:val="24"/>
        </w:rPr>
        <w:t xml:space="preserve">This bucket answers: 'How do you ensure quality and traceability through processing?' It covers the transformation of raw cherry into exportable green bean, including all 11 processing stages, quality inspections, and certification assessments. The selling point is batch-level traceability through every processing stage, with quality data that flows directly into compliance documentation and trading contracts.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Navigation Group</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Value to Buyer</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Key Models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Procurement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Cherry intake with lot assignment and farmer payment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ProcurementRecord, CollectionCentre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Processing Pipeline</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11-stage processing with batch tracking (pulping through retail)</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ProcessingJobOrder, ProcessingStageRecord</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Coffee Inspection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Cupping scores, defect counts, grade assignment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CoffeeInspection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QC Verifications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Lab-verified quality certificates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QcVerification</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Cert Assessments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Organic, Fairtrade, Rainforest Alliance status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CertAssessment</w:t>
            </w:r>
          </w:p>
        </w:tc>
      </w:tr>
    </w:tbl>
    <w:p>
      <w:pPr>
        <w:pStyle w:val="Heading2"/>
        <w:spacing w:after="120" w:before="280" w:line="312"/>
      </w:pPr>
      <w:bookmarkStart w:id="100012" w:name="_Toc100012"/>
      <w:r>
        <w:rPr>
          <w:rFonts w:ascii="Times New Roman"/>
          <w:b/>
          <w:bCs/>
          <w:color w:val="1A2330"/>
          <w:sz w:val="28"/>
          <w:szCs w:val="28"/>
        </w:rPr>
        <w:t xml:space="preserve">4.3 Bucket 3: Compliance &amp; Certification (HERO BUCKET)</w:t>
      </w:r>
      <w:bookmarkEnd w:id="100012"/>
    </w:p>
    <w:p>
      <w:pPr>
        <w:spacing w:after="80" w:line="312"/>
        <w:jc w:val="both"/>
      </w:pPr>
      <w:r>
        <w:rPr>
          <w:rFonts w:ascii="Times New Roman"/>
          <w:color w:val="000000"/>
          <w:sz w:val="24"/>
          <w:szCs w:val="24"/>
        </w:rPr>
        <w:t xml:space="preserve">This is the hero bucket and the primary sales trigger. It answers: 'Will this keep me EUDR-compliant?' This is where the money is. Every other bucket supports this one. The compliance layer is what transforms Terra Brew from a 'nice-to-have traceability tool' into a 'must-have regulatory operating system.' When positioning the product, this bucket should be presented first, not last.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Navigation Group</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Value to Buyer</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Key Models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EUDR Compliance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Automated due diligence statements with GPS verification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EudrCompliance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Deforestation Monitoring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Satellite-based deforestation assessment for plot verification</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DeforestationAssessment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Export Documents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Auto-generated export compliance packages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ExportDocument</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Blockchain Audit</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System</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Immutable, verifiable audit trail for regulators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HashChainBlock, QRVerification, AuditLog</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Trace Journey</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End-to-end lot traceability for consumer/ regulator verification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Lot, TraceChain</w:t>
            </w:r>
          </w:p>
        </w:tc>
      </w:tr>
    </w:tbl>
    <w:p>
      <w:pPr>
        <w:spacing w:after="80" w:line="312"/>
        <w:jc w:val="both"/>
      </w:pPr>
      <w:r>
        <w:rPr>
          <w:rFonts w:ascii="Times New Roman"/>
          <w:color w:val="000000"/>
          <w:sz w:val="24"/>
          <w:szCs w:val="24"/>
        </w:rPr>
        <w:t xml:space="preserve">The compliance bucket should be the first thing a new user sees after login. The dashboard should lead with EUDR compliance status: how many plots are verified, how many due diligence statements are ready, how many export shipments have complete compliance packages. This creates immediate value perception and hooks the user into exploring the supporting buckets.</w:t>
      </w:r>
    </w:p>
    <w:p>
      <w:pPr>
        <w:pStyle w:val="Heading2"/>
        <w:spacing w:after="120" w:before="280" w:line="312"/>
      </w:pPr>
      <w:bookmarkStart w:id="100013" w:name="_Toc100013"/>
      <w:r>
        <w:rPr>
          <w:rFonts w:ascii="Times New Roman"/>
          <w:b/>
          <w:bCs/>
          <w:color w:val="1A2330"/>
          <w:sz w:val="28"/>
          <w:szCs w:val="28"/>
        </w:rPr>
        <w:t xml:space="preserve">4.4 Bucket 4: Trade &amp; Contracts</w:t>
      </w:r>
      <w:bookmarkEnd w:id="100013"/>
    </w:p>
    <w:p>
      <w:pPr>
        <w:spacing w:after="80" w:line="312"/>
        <w:jc w:val="both"/>
      </w:pPr>
      <w:r>
        <w:rPr>
          <w:rFonts w:ascii="Times New Roman"/>
          <w:color w:val="000000"/>
          <w:sz w:val="24"/>
          <w:szCs w:val="24"/>
        </w:rPr>
        <w:t xml:space="preserve">This bucket answers: 'Can I manage deals, contracts, and shipments in one place?' It covers the commercial layer: RFQs, trading, smart contracts, logistics, and cross-border transactions. The selling point is that trading is integrated with compliance data, so every deal automatically carries its compliance package. This eliminates the traditional disconnect between the trading desk and the compliance team.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Navigation Group</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Value to Buyer</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Key Models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RFQ Management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Request-for-quote workflow with linked lot data</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RFQ, RFQResponse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Trading Desk</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Real-time pricing and deal management</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MarketplaceListing, SaleTransaction</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Smart Contracts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Escrow-backed digital trade agreements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SmartContract, EscrowTransaction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Shipments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Shipment tracking with compliance package attached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Shipment, TrackingUpdate</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Logistics Booking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Freight and logistics coordination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LogisticBooking, CrossBorderTransaction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Product Monitoring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Post-shipment quality and condition tracking</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ProductMonitoring</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Inspection Service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Logistics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Third-party inspection requests and results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InspectionRequest</w:t>
            </w:r>
          </w:p>
        </w:tc>
      </w:tr>
    </w:tbl>
    <w:p>
      <w:pPr>
        <w:pStyle w:val="Heading2"/>
        <w:spacing w:after="120" w:before="280" w:line="312"/>
      </w:pPr>
      <w:bookmarkStart w:id="100014" w:name="_Toc100014"/>
      <w:r>
        <w:rPr>
          <w:rFonts w:ascii="Times New Roman"/>
          <w:b/>
          <w:bCs/>
          <w:color w:val="1A2330"/>
          <w:sz w:val="28"/>
          <w:szCs w:val="28"/>
        </w:rPr>
        <w:t xml:space="preserve">4.5 Bucket 5: Operations &amp; Administration</w:t>
      </w:r>
      <w:bookmarkEnd w:id="100014"/>
    </w:p>
    <w:p>
      <w:pPr>
        <w:spacing w:after="80" w:line="312"/>
        <w:jc w:val="both"/>
      </w:pPr>
      <w:r>
        <w:rPr>
          <w:rFonts w:ascii="Times New Roman"/>
          <w:color w:val="000000"/>
          <w:sz w:val="24"/>
          <w:szCs w:val="24"/>
        </w:rPr>
        <w:t xml:space="preserve">This bucket answers: 'How do I manage my organization, users, and integrations?' It covers the operational backbone: user management, billing, API access, IoT sensors, and system configuration. This bucket is necessary for platform administration but should not dominate the navigation. For most users, it is accessed infrequently after initial setup.</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Navigation Group</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Value to Buyer</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Key Models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Users &amp; Roles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Finance &amp; Admin</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RBAC with 8 role types, multi-tenant isolation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User, TenantRole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Billing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Finance &amp; Admin</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Subscription management with Stripe/PayPal</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Subscription, Tenant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IoT Sensors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System</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Automated environmental data capture at farm/processing level</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IoTSensor, IoTReading</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API &amp; Webhooks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System</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External system integration for ERP, accounting, customs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ApiKey, WebhookEndpoint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Analytics &amp; Reports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Overview</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Custom reports, dashboards, export analytics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AnalyticsReport</w:t>
            </w:r>
          </w:p>
        </w:tc>
      </w:tr>
    </w:tbl>
    <w:p>
      <w:pPr>
        <w:pStyle w:val="Heading1"/>
        <w:spacing w:after="160" w:before="360" w:line="312"/>
      </w:pPr>
      <w:bookmarkStart w:id="100015" w:name="_Toc100015"/>
      <w:r>
        <w:rPr>
          <w:rFonts w:ascii="Times New Roman"/>
          <w:b/>
          <w:bCs/>
          <w:color w:val="1A2330"/>
          <w:sz w:val="32"/>
          <w:szCs w:val="32"/>
        </w:rPr>
        <w:t xml:space="preserve">5. EUDR as Entry Point Strategy</w:t>
      </w:r>
      <w:bookmarkEnd w:id="100015"/>
    </w:p>
    <w:p>
      <w:pPr>
        <w:pStyle w:val="Heading2"/>
        <w:spacing w:after="120" w:before="280" w:line="312"/>
      </w:pPr>
      <w:bookmarkStart w:id="100016" w:name="_Toc100016"/>
      <w:r>
        <w:rPr>
          <w:rFonts w:ascii="Times New Roman"/>
          <w:b/>
          <w:bCs/>
          <w:color w:val="1A2330"/>
          <w:sz w:val="28"/>
          <w:szCs w:val="28"/>
        </w:rPr>
        <w:t xml:space="preserve">5.1 Why EUDR Is the Sales Trigger</w:t>
      </w:r>
      <w:bookmarkEnd w:id="100016"/>
    </w:p>
    <w:p>
      <w:pPr>
        <w:spacing w:after="80" w:line="312"/>
        <w:jc w:val="both"/>
      </w:pPr>
      <w:r>
        <w:rPr>
          <w:rFonts w:ascii="Times New Roman"/>
          <w:color w:val="000000"/>
          <w:sz w:val="24"/>
          <w:szCs w:val="24"/>
        </w:rPr>
        <w:t xml:space="preserve">The European Union Deforestation Regulation (EUDR) is the single most powerful driver for platform adoption in the coffee industry. Effective December 2025, it requires every operator placing coffee on the EU market to provide due diligence statements proving their supply chain is deforestation-free. Non-compliance penalties reach up to 4% of EU annual revenue. This is not a theoretical risk; it is a financial certainty that concentrates minds in boardrooms across Vietnam, Brazil, Ethiopia, and Kenya.</w:t>
      </w:r>
    </w:p>
    <w:p>
      <w:pPr>
        <w:spacing w:after="80" w:line="312"/>
        <w:jc w:val="both"/>
      </w:pPr>
      <w:r>
        <w:rPr>
          <w:rFonts w:ascii="Times New Roman"/>
          <w:color w:val="000000"/>
          <w:sz w:val="24"/>
          <w:szCs w:val="24"/>
        </w:rPr>
        <w:t xml:space="preserve">The critical insight is that EUDR compliance is not a feature. It is a sales trigger. When a compliance officer at a European coffee importer searches for solutions, they are not looking for 'traceability software.' They are looking for 'EUDR compliance.' The platform that answers that search query first, with the most credible solution, wins the contract. Every other feature (trading, quality, logistics) becomes an upsell that the buyer discovers after they have already committed to the compliance solution.</w:t>
      </w:r>
    </w:p>
    <w:p>
      <w:pPr>
        <w:pStyle w:val="Heading2"/>
        <w:spacing w:after="120" w:before="280" w:line="312"/>
      </w:pPr>
      <w:bookmarkStart w:id="100017" w:name="_Toc100017"/>
      <w:r>
        <w:rPr>
          <w:rFonts w:ascii="Times New Roman"/>
          <w:b/>
          <w:bCs/>
          <w:color w:val="1A2330"/>
          <w:sz w:val="28"/>
          <w:szCs w:val="28"/>
        </w:rPr>
        <w:t xml:space="preserve">5.2 EUDR Compliance Flow in Terra Brew</w:t>
      </w:r>
      <w:bookmarkEnd w:id="100017"/>
    </w:p>
    <w:p>
      <w:pPr>
        <w:spacing w:after="80" w:line="312"/>
        <w:jc w:val="both"/>
      </w:pPr>
      <w:r>
        <w:rPr>
          <w:rFonts w:ascii="Times New Roman"/>
          <w:color w:val="000000"/>
          <w:sz w:val="24"/>
          <w:szCs w:val="24"/>
        </w:rPr>
        <w:t xml:space="preserve">The EUDR compliance flow in Terra Brew follows a precise data chain that starts at the farm and ends with an export-ready due diligence statement. Each step produces data that automatically flows to the next step, ensuring no manual re-entry and complete auditability: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8%"/>
            <w:shd w:fill="D4875A" w:val="clear"/>
            <w:tcMar>
              <w:top w:type="dxa" w:w="60"/>
              <w:left w:type="dxa" w:w="120"/>
              <w:bottom w:type="dxa" w:w="60"/>
              <w:right w:type="dxa" w:w="120"/>
            </w:tcMar>
          </w:tcPr>
          <w:p>
            <w:r>
              <w:rPr>
                <w:rFonts w:ascii="Times New Roman"/>
                <w:b/>
                <w:bCs/>
                <w:color w:val="FFFFFF"/>
                <w:sz w:val="21"/>
                <w:szCs w:val="21"/>
              </w:rPr>
              <w:t xml:space="preserve">Step</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Data Produced</w:t>
            </w:r>
          </w:p>
        </w:tc>
        <w:tc>
          <w:tcPr>
            <w:tcW w:type="pct" w:w="37%"/>
            <w:shd w:fill="D4875A" w:val="clear"/>
            <w:tcMar>
              <w:top w:type="dxa" w:w="60"/>
              <w:left w:type="dxa" w:w="120"/>
              <w:bottom w:type="dxa" w:w="60"/>
              <w:right w:type="dxa" w:w="120"/>
            </w:tcMar>
          </w:tcPr>
          <w:p>
            <w:r>
              <w:rPr>
                <w:rFonts w:ascii="Times New Roman"/>
                <w:b/>
                <w:bCs/>
                <w:color w:val="FFFFFF"/>
                <w:sz w:val="21"/>
                <w:szCs w:val="21"/>
              </w:rPr>
              <w:t xml:space="preserve">EUDR Requirement Satisfied</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1</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Field officer captures farm GPS polygon</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GeoJSON coordinates of each plot</w:t>
            </w:r>
          </w:p>
        </w:tc>
        <w:tc>
          <w:tcPr>
            <w:tcW w:type="pct" w:w="37%"/>
            <w:shd w:fill="F8F0EB" w:val="clear"/>
            <w:tcMar>
              <w:top w:type="dxa" w:w="60"/>
              <w:left w:type="dxa" w:w="120"/>
              <w:bottom w:type="dxa" w:w="60"/>
              <w:right w:type="dxa" w:w="120"/>
            </w:tcMar>
          </w:tcPr>
          <w:p>
            <w:r>
              <w:rPr>
                <w:rFonts w:ascii="Times New Roman"/>
                <w:color w:val="000000"/>
                <w:sz w:val="21"/>
                <w:szCs w:val="21"/>
              </w:rPr>
              <w:t xml:space="preserve">GPS location of production plots</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2</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Satellite deforestation assessment</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Deforestation risk score with imagery</w:t>
            </w:r>
          </w:p>
        </w:tc>
        <w:tc>
          <w:tcPr>
            <w:tcW w:type="pct" w:w="37%"/>
            <w:shd w:fill="FFFFFF" w:val="clear"/>
            <w:tcMar>
              <w:top w:type="dxa" w:w="60"/>
              <w:left w:type="dxa" w:w="120"/>
              <w:bottom w:type="dxa" w:w="60"/>
              <w:right w:type="dxa" w:w="120"/>
            </w:tcMar>
          </w:tcPr>
          <w:p>
            <w:r>
              <w:rPr>
                <w:rFonts w:ascii="Times New Roman"/>
                <w:color w:val="000000"/>
                <w:sz w:val="21"/>
                <w:szCs w:val="21"/>
              </w:rPr>
              <w:t xml:space="preserve">Proof of no deforestation after Dec 2020</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3</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Harvest traceability record created</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Lot ID, harvest date, yield, farmer</w:t>
            </w:r>
          </w:p>
        </w:tc>
        <w:tc>
          <w:tcPr>
            <w:tcW w:type="pct" w:w="37%"/>
            <w:shd w:fill="F8F0EB" w:val="clear"/>
            <w:tcMar>
              <w:top w:type="dxa" w:w="60"/>
              <w:left w:type="dxa" w:w="120"/>
              <w:bottom w:type="dxa" w:w="60"/>
              <w:right w:type="dxa" w:w="120"/>
            </w:tcMar>
          </w:tcPr>
          <w:p>
            <w:r>
              <w:rPr>
                <w:rFonts w:ascii="Times New Roman"/>
                <w:color w:val="000000"/>
                <w:sz w:val="21"/>
                <w:szCs w:val="21"/>
              </w:rPr>
              <w:t xml:space="preserve">Link between product and production plot</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4</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Processing batch tracking</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Batch ID, processing stages, quality data</w:t>
            </w:r>
          </w:p>
        </w:tc>
        <w:tc>
          <w:tcPr>
            <w:tcW w:type="pct" w:w="37%"/>
            <w:shd w:fill="FFFFFF" w:val="clear"/>
            <w:tcMar>
              <w:top w:type="dxa" w:w="60"/>
              <w:left w:type="dxa" w:w="120"/>
              <w:bottom w:type="dxa" w:w="60"/>
              <w:right w:type="dxa" w:w="120"/>
            </w:tcMar>
          </w:tcPr>
          <w:p>
            <w:r>
              <w:rPr>
                <w:rFonts w:ascii="Times New Roman"/>
                <w:color w:val="000000"/>
                <w:sz w:val="21"/>
                <w:szCs w:val="21"/>
              </w:rPr>
              <w:t xml:space="preserve">Chain of custody through transformation</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5</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EUDR compliance record generated</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Due diligence statement with all references</w:t>
            </w:r>
          </w:p>
        </w:tc>
        <w:tc>
          <w:tcPr>
            <w:tcW w:type="pct" w:w="37%"/>
            <w:shd w:fill="F8F0EB" w:val="clear"/>
            <w:tcMar>
              <w:top w:type="dxa" w:w="60"/>
              <w:left w:type="dxa" w:w="120"/>
              <w:bottom w:type="dxa" w:w="60"/>
              <w:right w:type="dxa" w:w="120"/>
            </w:tcMar>
          </w:tcPr>
          <w:p>
            <w:r>
              <w:rPr>
                <w:rFonts w:ascii="Times New Roman"/>
                <w:color w:val="000000"/>
                <w:sz w:val="21"/>
                <w:szCs w:val="21"/>
              </w:rPr>
              <w:t xml:space="preserve">Complete DDS for EU customs submission</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6</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Export document package assembled</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Compliance package + shipping documents</w:t>
            </w:r>
          </w:p>
        </w:tc>
        <w:tc>
          <w:tcPr>
            <w:tcW w:type="pct" w:w="37%"/>
            <w:shd w:fill="FFFFFF" w:val="clear"/>
            <w:tcMar>
              <w:top w:type="dxa" w:w="60"/>
              <w:left w:type="dxa" w:w="120"/>
              <w:bottom w:type="dxa" w:w="60"/>
              <w:right w:type="dxa" w:w="120"/>
            </w:tcMar>
          </w:tcPr>
          <w:p>
            <w:r>
              <w:rPr>
                <w:rFonts w:ascii="Times New Roman"/>
                <w:color w:val="000000"/>
                <w:sz w:val="21"/>
                <w:szCs w:val="21"/>
              </w:rPr>
              <w:t xml:space="preserve">TRACES notification and customs clearance</w:t>
            </w:r>
          </w:p>
        </w:tc>
      </w:tr>
    </w:tbl>
    <w:p>
      <w:pPr>
        <w:pStyle w:val="Heading2"/>
        <w:spacing w:after="120" w:before="280" w:line="312"/>
      </w:pPr>
      <w:bookmarkStart w:id="100018" w:name="_Toc100018"/>
      <w:r>
        <w:rPr>
          <w:rFonts w:ascii="Times New Roman"/>
          <w:b/>
          <w:bCs/>
          <w:color w:val="1A2330"/>
          <w:sz w:val="28"/>
          <w:szCs w:val="28"/>
        </w:rPr>
        <w:t xml:space="preserve">5.3 Landing Page: EUDR-First Messaging</w:t>
      </w:r>
      <w:bookmarkEnd w:id="100018"/>
    </w:p>
    <w:p>
      <w:pPr>
        <w:spacing w:after="80" w:line="312"/>
        <w:jc w:val="both"/>
      </w:pPr>
      <w:r>
        <w:rPr>
          <w:rFonts w:ascii="Times New Roman"/>
          <w:color w:val="000000"/>
          <w:sz w:val="24"/>
          <w:szCs w:val="24"/>
        </w:rPr>
        <w:t xml:space="preserve">The landing page must lead with EUDR, not with features. The current landing page opens with 'Coffee Traceability Software' and lists 8 feature cards. The repositioned landing page should follow the Problem-Stakes-Solution-How-Proof narrative structure: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b/>
                <w:bCs/>
                <w:color w:val="FFFFFF"/>
                <w:sz w:val="21"/>
                <w:szCs w:val="21"/>
              </w:rPr>
              <w:t xml:space="preserve">Section</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Current</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Repositioned</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Why</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Hero H1</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'Coffee Traceability Software -- Farm to Cup'</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'EUDR Compliance &amp; Traceability for Coffee Supply Chains'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Lead with the regulatory mandate</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Hero Subtitle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Generic traceability claims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'If you export coffee to the EU, you need this. Ensure compliance, avoid penalties, and prove every lot.'</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Create urgency and clarity</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Stats Bar</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7 entity types, 35+ modules</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10,000+ plots verified, 500+ DDS generated, 100% EUDR compliant, 50+ EU importers served</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Show proof, not architecture</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Feature 1</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Traceability card</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EUDR Compliance card (GPS verification + DDS)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Compliance is the hero feature</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CTA</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'Enter Platform'</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'Start EUDR Compliance Check' or 'Book Demo'</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Action-oriented, compliance-focused</w:t>
            </w:r>
          </w:p>
        </w:tc>
      </w:tr>
    </w:tbl>
    <w:p>
      <w:pPr>
        <w:pStyle w:val="Heading1"/>
        <w:spacing w:after="160" w:before="360" w:line="312"/>
      </w:pPr>
      <w:bookmarkStart w:id="100019" w:name="_Toc100019"/>
      <w:r>
        <w:rPr>
          <w:rFonts w:ascii="Times New Roman"/>
          <w:b/>
          <w:bCs/>
          <w:color w:val="1A2330"/>
          <w:sz w:val="32"/>
          <w:szCs w:val="32"/>
        </w:rPr>
        <w:t xml:space="preserve">6. User Journey Maps: Who Does What</w:t>
      </w:r>
      <w:bookmarkEnd w:id="100019"/>
    </w:p>
    <w:p>
      <w:pPr>
        <w:spacing w:after="80" w:line="312"/>
        <w:jc w:val="both"/>
      </w:pPr>
      <w:r>
        <w:rPr>
          <w:rFonts w:ascii="Times New Roman"/>
          <w:color w:val="000000"/>
          <w:sz w:val="24"/>
          <w:szCs w:val="24"/>
        </w:rPr>
        <w:t xml:space="preserve">Each entity type logs into Terra Brew with a specific purpose. The platform must guide each user to their most important action within 2 clicks of login. The repositioned dashboard should show a role-appropriate default view that answers the user's primary question immediately, then provide progressive access to deeper functionality through the 5 value buckets.</w:t>
      </w:r>
    </w:p>
    <w:p>
      <w:pPr>
        <w:pStyle w:val="Heading2"/>
        <w:spacing w:after="120" w:before="280" w:line="312"/>
      </w:pPr>
      <w:bookmarkStart w:id="100020" w:name="_Toc100020"/>
      <w:r>
        <w:rPr>
          <w:rFonts w:ascii="Times New Roman"/>
          <w:b/>
          <w:bCs/>
          <w:color w:val="1A2330"/>
          <w:sz w:val="28"/>
          <w:szCs w:val="28"/>
        </w:rPr>
        <w:t xml:space="preserve">6.1 Producer (Farm / Cooperative)</w:t>
      </w:r>
      <w:bookmarkEnd w:id="100020"/>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Operations Manager, Field Officer at a coffee farm or cooperative (e.g., Metrang Coffee, Yirgacheffe Union, Othaya Cooperative)</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capture and manage farm-level data, track harvests, and generate compliance-ready records for their buyers.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Register farmers with GPS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Farmers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Name, contact, location, coordinates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EUDR compliance, certification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Data Capture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Map farm plots with polygons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Farm Lands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GeoJSON boundaries, area, altitude</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Deforestation assessment</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Record cultivation activities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Cultivations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Variety, planting date, methods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Certification, quality tracking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Data Capture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Track crop growth and health</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Crop Monitoring</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Growth stage, health status, photos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Harvest planning, quality prediction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Farm Data Capture</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Log harvest with lot assignment</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Harvest Traceability</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Lot ID, date, volume, quality grade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intake, EUDR DDS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View EUDR compliance status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None (reads generated status)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Buyer verification, export docs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Review quality inspection results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Coffee Inspection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lab results)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Trading negotiations, pricing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bl>
    <w:p>
      <w:pPr>
        <w:pStyle w:val="Heading2"/>
        <w:spacing w:after="120" w:before="280" w:line="312"/>
      </w:pPr>
      <w:bookmarkStart w:id="100021" w:name="_Toc100021"/>
      <w:r>
        <w:rPr>
          <w:rFonts w:ascii="Times New Roman"/>
          <w:b/>
          <w:bCs/>
          <w:color w:val="1A2330"/>
          <w:sz w:val="28"/>
          <w:szCs w:val="28"/>
        </w:rPr>
        <w:t xml:space="preserve">6.2 Aggregator (Cooperative / Mill)</w:t>
      </w:r>
      <w:bookmarkEnd w:id="100021"/>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Operations Manager, Quality Controller at a cooperative or processing mill (e.g., Cooxupé)</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manage cherry procurement from member farmers, track processing batches, ensure quality standards, and fulfill buyer orders with complete traceability and compliance documentation.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Procure cherry from farmers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Procurement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Farmer, volume, price, lot assignment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payments, compliance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Track processing stages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Processing Pipeline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Batch ID, stage progress, yield at each stage</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Quality, compliance, trading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Request quality inspections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Coffee Inspection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Sample details, requested tests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Trading, certification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Generate EUDR compliance packages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Lot selection, DDS generation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Export, buyer verification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Respond to buyer RFQs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RFQ Management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Price, volume, quality spec, delivery timeline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Smart contracts, shipments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Manage export documentation</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Export Documents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Shipping details, compliance references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Customs, logistics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Track shipments to buyers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Shipments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Carrier, ETA, tracking updates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Buyer dashboard, monitoring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Contracts</w:t>
            </w:r>
          </w:p>
        </w:tc>
      </w:tr>
    </w:tbl>
    <w:p>
      <w:pPr>
        <w:pStyle w:val="Heading2"/>
        <w:spacing w:after="120" w:before="280" w:line="312"/>
      </w:pPr>
      <w:bookmarkStart w:id="100022" w:name="_Toc100022"/>
      <w:r>
        <w:rPr>
          <w:rFonts w:ascii="Times New Roman"/>
          <w:b/>
          <w:bCs/>
          <w:color w:val="1A2330"/>
          <w:sz w:val="28"/>
          <w:szCs w:val="28"/>
        </w:rPr>
        <w:t xml:space="preserve">6.3 Exporter</w:t>
      </w:r>
      <w:bookmarkEnd w:id="100022"/>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Trading Manager, Compliance Officer at an export house (e.g., Euro Coffee Imports)</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manage export compliance, generate due diligence statements for EU customs, coordinate logistics, and ensure every shipment carries a complete, audit-ready compliance package.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Verify EUDR compliance per shipment</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Shipment-lot linkage, DDS review</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EU customs, buyer</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Generate due diligence statements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Auto-populated from upstream data</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TRACES, EU authorities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Manage export document packages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Export Documents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Commercial invoice, packing list, certificates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Customs clearance, buyer</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Track cross-border shipments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Shipments + Logistics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Customs status, carrier updates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Buyer, finance</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Issue RFQs to suppliers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RFQ Management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Volume, quality, origin requirements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Supplier responses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Monitor product quality in transit</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Product Monitoring</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Condition reports, arrival quality</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Claims, pricing adjustments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View blockchain audit trail</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Blockchain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immutable chain)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Regulatory audit, disputes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bl>
    <w:p>
      <w:pPr>
        <w:pStyle w:val="Heading2"/>
        <w:spacing w:after="120" w:before="280" w:line="312"/>
      </w:pPr>
      <w:bookmarkStart w:id="100023" w:name="_Toc100023"/>
      <w:r>
        <w:rPr>
          <w:rFonts w:ascii="Times New Roman"/>
          <w:b/>
          <w:bCs/>
          <w:color w:val="1A2330"/>
          <w:sz w:val="28"/>
          <w:szCs w:val="28"/>
        </w:rPr>
        <w:t xml:space="preserve">6.4 Importer (Buyer)</w:t>
      </w:r>
      <w:bookmarkEnd w:id="100023"/>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Compliance Officer, Procurement Manager at an EU coffee importing company</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verify EUDR compliance of incoming shipments, track order status, manage supplier relationships, and ensure they can present due diligence statements to EU authorities on demand. This is the paying customer, and their experience must be exceptional.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View EUDR compliance dashboard</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status)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Internal compliance reporting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Verify supplier compliance status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EUDR Compliance + Trace Journey</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None (reads traceability chain)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Due diligence for own DDS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Issue RFQs to exporters/aggregators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RFQ Management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Requirements, volume, quality, price range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Supplier responses, contracts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Track incoming shipments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Shipments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None (reads tracking data)</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Warehouse planning, sales planning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Trade &amp; Contracts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Review quality inspection reports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Coffee Inspection + QC</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lab results)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Pricing, acceptance decisions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View lot traceability journey</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Trace Journey</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None (reads end-to-end chain)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Consumer marketing, compliance proof</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Access compliance documents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Export Documents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export packages)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EU customs, internal audit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bl>
    <w:p>
      <w:pPr>
        <w:pStyle w:val="Heading2"/>
        <w:spacing w:after="120" w:before="280" w:line="312"/>
      </w:pPr>
      <w:bookmarkStart w:id="100024" w:name="_Toc100024"/>
      <w:r>
        <w:rPr>
          <w:rFonts w:ascii="Times New Roman"/>
          <w:b/>
          <w:bCs/>
          <w:color w:val="1A2330"/>
          <w:sz w:val="28"/>
          <w:szCs w:val="28"/>
        </w:rPr>
        <w:t xml:space="preserve">6.5 Certification Body</w:t>
      </w:r>
      <w:bookmarkEnd w:id="100024"/>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Lead Auditor at a certification organization (e.g., SGS Inspection)</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conduct digital assessments, verify farmer and processor data, issue certification decisions, and provide audit results that integrate directly with the supply chain's compliance and quality records.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Review farmer and plot data</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Farmers + Farm Lands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None (reads applicant data)</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Assessment basis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 Data Capture (view)</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Conduct certification assessments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Cert Assessments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Findings, scores, recommendations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Certification status, buyer verification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Perform coffee inspections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Coffee Inspection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Cupping scores, defect counts, grade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Quality certificates, trading</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Verify EUDR compliance data</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EUDR Compliance</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Verification status, comments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certification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Compliance (HERO)</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Assess deforestation risk</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Deforestation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Verification of satellite data</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EUDR due diligence support</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(HERO)</w:t>
            </w:r>
          </w:p>
        </w:tc>
      </w:tr>
    </w:tbl>
    <w:p>
      <w:pPr>
        <w:pStyle w:val="Heading2"/>
        <w:spacing w:after="120" w:before="280" w:line="312"/>
      </w:pPr>
      <w:bookmarkStart w:id="100025" w:name="_Toc100025"/>
      <w:r>
        <w:rPr>
          <w:rFonts w:ascii="Times New Roman"/>
          <w:b/>
          <w:bCs/>
          <w:color w:val="1A2330"/>
          <w:sz w:val="28"/>
          <w:szCs w:val="28"/>
        </w:rPr>
        <w:t xml:space="preserve">6.6 Laboratory</w:t>
      </w:r>
      <w:bookmarkEnd w:id="100025"/>
    </w:p>
    <w:p>
      <w:pPr>
        <w:spacing w:after="80" w:line="312"/>
        <w:jc w:val="both"/>
      </w:pPr>
      <w:r>
        <w:rPr>
          <w:rFonts w:ascii="Times New Roman"/>
          <w:b/>
          <w:bCs/>
          <w:color w:val="000000"/>
          <w:sz w:val="24"/>
          <w:szCs w:val="24"/>
        </w:rPr>
        <w:t xml:space="preserve">Primary user: </w:t>
      </w:r>
      <w:r>
        <w:rPr>
          <w:rFonts w:ascii="Times New Roman"/>
          <w:b w:val="false"/>
          <w:bCs w:val="false"/>
          <w:color w:val="000000"/>
          <w:sz w:val="24"/>
          <w:szCs w:val="24"/>
        </w:rPr>
        <w:t xml:space="preserve">Lab Technician, Quality Manager at a testing laboratory</w:t>
      </w:r>
    </w:p>
    <w:p>
      <w:pPr>
        <w:spacing w:after="80" w:line="312"/>
        <w:jc w:val="both"/>
      </w:pPr>
      <w:r>
        <w:rPr>
          <w:rFonts w:ascii="Times New Roman"/>
          <w:b/>
          <w:bCs/>
          <w:color w:val="000000"/>
          <w:sz w:val="24"/>
          <w:szCs w:val="24"/>
        </w:rPr>
        <w:t xml:space="preserve">Why they log in: </w:t>
      </w:r>
      <w:r>
        <w:rPr>
          <w:rFonts w:ascii="Times New Roman"/>
          <w:b w:val="false"/>
          <w:bCs w:val="false"/>
          <w:color w:val="000000"/>
          <w:sz w:val="24"/>
          <w:szCs w:val="24"/>
        </w:rPr>
        <w:t xml:space="preserve">To receive inspection requests, enter test results, issue quality certificates, and provide verified data that flows into compliance packages and trading contracts.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Action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Module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Data Entered</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Data Consumed By</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Value Bucket</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Receive inspection requests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Coffee Inspection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Accept/reject, schedule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Requestor notification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Enter lab test results</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QC Verifications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Moisture, density, screen size, cup score, defects</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Quality certificates, trading</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Issue quality certificates</w:t>
            </w:r>
          </w:p>
        </w:tc>
        <w:tc>
          <w:tcPr>
            <w:tcW w:type="pct" w:w="15%"/>
            <w:shd w:fill="F8F0EB" w:val="clear"/>
            <w:tcMar>
              <w:top w:type="dxa" w:w="60"/>
              <w:left w:type="dxa" w:w="120"/>
              <w:bottom w:type="dxa" w:w="60"/>
              <w:right w:type="dxa" w:w="120"/>
            </w:tcMar>
          </w:tcPr>
          <w:p>
            <w:r>
              <w:rPr>
                <w:rFonts w:ascii="Times New Roman"/>
                <w:color w:val="000000"/>
                <w:sz w:val="21"/>
                <w:szCs w:val="21"/>
              </w:rPr>
              <w:t xml:space="preserve">QC Verifications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Certificate generation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Export docs, smart contracts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Processing &amp; Quality</w:t>
            </w:r>
          </w:p>
        </w:tc>
      </w:tr>
    </w:tbl>
    <w:p>
      <w:pPr>
        <w:pStyle w:val="Heading1"/>
        <w:spacing w:after="160" w:before="360" w:line="312"/>
      </w:pPr>
      <w:bookmarkStart w:id="100026" w:name="_Toc100026"/>
      <w:r>
        <w:rPr>
          <w:rFonts w:ascii="Times New Roman"/>
          <w:b/>
          <w:bCs/>
          <w:color w:val="1A2330"/>
          <w:sz w:val="32"/>
          <w:szCs w:val="32"/>
        </w:rPr>
        <w:t xml:space="preserve">7. Data Flow Architecture: How Data Travels</w:t>
      </w:r>
      <w:bookmarkEnd w:id="100026"/>
    </w:p>
    <w:p>
      <w:pPr>
        <w:spacing w:after="80" w:line="312"/>
        <w:jc w:val="both"/>
      </w:pPr>
      <w:r>
        <w:rPr>
          <w:rFonts w:ascii="Times New Roman"/>
          <w:color w:val="000000"/>
          <w:sz w:val="24"/>
          <w:szCs w:val="24"/>
        </w:rPr>
        <w:t xml:space="preserve">Understanding data flow is essential for both sales conversations and platform design. When a buyer asks 'How does the data get from the farm to my compliance dashboard?', the answer must be clear and credible. The data flow in Terra Brew follows a strict upstream-to-downstream pattern where each entity type adds a layer of data, and the compliance layer aggregates all upstream data into verified, export-ready packages.</w:t>
      </w:r>
    </w:p>
    <w:p>
      <w:pPr>
        <w:pStyle w:val="Heading2"/>
        <w:spacing w:after="120" w:before="280" w:line="312"/>
      </w:pPr>
      <w:bookmarkStart w:id="100027" w:name="_Toc100027"/>
      <w:r>
        <w:rPr>
          <w:rFonts w:ascii="Times New Roman"/>
          <w:b/>
          <w:bCs/>
          <w:color w:val="1A2330"/>
          <w:sz w:val="28"/>
          <w:szCs w:val="28"/>
        </w:rPr>
        <w:t xml:space="preserve">7.1 The Seed-to-Cup Data Chain</w:t>
      </w:r>
      <w:bookmarkEnd w:id="10002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14%"/>
            <w:shd w:fill="D4875A" w:val="clear"/>
            <w:tcMar>
              <w:top w:type="dxa" w:w="60"/>
              <w:left w:type="dxa" w:w="120"/>
              <w:bottom w:type="dxa" w:w="60"/>
              <w:right w:type="dxa" w:w="120"/>
            </w:tcMar>
          </w:tcPr>
          <w:p>
            <w:r>
              <w:rPr>
                <w:rFonts w:ascii="Times New Roman"/>
                <w:b/>
                <w:bCs/>
                <w:color w:val="FFFFFF"/>
                <w:sz w:val="21"/>
                <w:szCs w:val="21"/>
              </w:rPr>
              <w:t xml:space="preserve">Stage</w:t>
            </w:r>
          </w:p>
        </w:tc>
        <w:tc>
          <w:tcPr>
            <w:tcW w:type="pct" w:w="14%"/>
            <w:shd w:fill="D4875A" w:val="clear"/>
            <w:tcMar>
              <w:top w:type="dxa" w:w="60"/>
              <w:left w:type="dxa" w:w="120"/>
              <w:bottom w:type="dxa" w:w="60"/>
              <w:right w:type="dxa" w:w="120"/>
            </w:tcMar>
          </w:tcPr>
          <w:p>
            <w:r>
              <w:rPr>
                <w:rFonts w:ascii="Times New Roman"/>
                <w:b/>
                <w:bCs/>
                <w:color w:val="FFFFFF"/>
                <w:sz w:val="21"/>
                <w:szCs w:val="21"/>
              </w:rPr>
              <w:t xml:space="preserve">Entity</w:t>
            </w:r>
          </w:p>
        </w:tc>
        <w:tc>
          <w:tcPr>
            <w:tcW w:type="pct" w:w="28%"/>
            <w:shd w:fill="D4875A" w:val="clear"/>
            <w:tcMar>
              <w:top w:type="dxa" w:w="60"/>
              <w:left w:type="dxa" w:w="120"/>
              <w:bottom w:type="dxa" w:w="60"/>
              <w:right w:type="dxa" w:w="120"/>
            </w:tcMar>
          </w:tcPr>
          <w:p>
            <w:r>
              <w:rPr>
                <w:rFonts w:ascii="Times New Roman"/>
                <w:b/>
                <w:bCs/>
                <w:color w:val="FFFFFF"/>
                <w:sz w:val="21"/>
                <w:szCs w:val="21"/>
              </w:rPr>
              <w:t xml:space="preserve">Data Created</w:t>
            </w:r>
          </w:p>
        </w:tc>
        <w:tc>
          <w:tcPr>
            <w:tcW w:type="pct" w:w="28%"/>
            <w:shd w:fill="D4875A" w:val="clear"/>
            <w:tcMar>
              <w:top w:type="dxa" w:w="60"/>
              <w:left w:type="dxa" w:w="120"/>
              <w:bottom w:type="dxa" w:w="60"/>
              <w:right w:type="dxa" w:w="120"/>
            </w:tcMar>
          </w:tcPr>
          <w:p>
            <w:r>
              <w:rPr>
                <w:rFonts w:ascii="Times New Roman"/>
                <w:b/>
                <w:bCs/>
                <w:color w:val="FFFFFF"/>
                <w:sz w:val="21"/>
                <w:szCs w:val="21"/>
              </w:rPr>
              <w:t xml:space="preserve">Data Consumed Downstream</w:t>
            </w:r>
          </w:p>
        </w:tc>
        <w:tc>
          <w:tcPr>
            <w:tcW w:type="pct" w:w="16%"/>
            <w:shd w:fill="D4875A" w:val="clear"/>
            <w:tcMar>
              <w:top w:type="dxa" w:w="60"/>
              <w:left w:type="dxa" w:w="120"/>
              <w:bottom w:type="dxa" w:w="60"/>
              <w:right w:type="dxa" w:w="120"/>
            </w:tcMar>
          </w:tcPr>
          <w:p>
            <w:r>
              <w:rPr>
                <w:rFonts w:ascii="Times New Roman"/>
                <w:b/>
                <w:bCs/>
                <w:color w:val="FFFFFF"/>
                <w:sz w:val="21"/>
                <w:szCs w:val="21"/>
              </w:rPr>
              <w:t xml:space="preserve">Critical for EUDR</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1. Farm Registration</w:t>
            </w:r>
          </w:p>
        </w:tc>
        <w:tc>
          <w:tcPr>
            <w:tcW w:type="pct" w:w="14%"/>
            <w:shd w:fill="F8F0EB" w:val="clear"/>
            <w:tcMar>
              <w:top w:type="dxa" w:w="60"/>
              <w:left w:type="dxa" w:w="120"/>
              <w:bottom w:type="dxa" w:w="60"/>
              <w:right w:type="dxa" w:w="120"/>
            </w:tcMar>
          </w:tcPr>
          <w:p>
            <w:r>
              <w:rPr>
                <w:rFonts w:ascii="Times New Roman"/>
                <w:color w:val="000000"/>
                <w:sz w:val="21"/>
                <w:szCs w:val="21"/>
              </w:rPr>
              <w:t xml:space="preserve">Producer</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Farmer profile, GPS coordinates, farm plot boundaries (GeoJSON)</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All downstream stages</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Yes - GPS is mandatory</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2. Cultivation &amp; Harvest</w:t>
            </w:r>
          </w:p>
        </w:tc>
        <w:tc>
          <w:tcPr>
            <w:tcW w:type="pct" w:w="14%"/>
            <w:shd w:fill="FFFFFF" w:val="clear"/>
            <w:tcMar>
              <w:top w:type="dxa" w:w="60"/>
              <w:left w:type="dxa" w:w="120"/>
              <w:bottom w:type="dxa" w:w="60"/>
              <w:right w:type="dxa" w:w="120"/>
            </w:tcMar>
          </w:tcPr>
          <w:p>
            <w:r>
              <w:rPr>
                <w:rFonts w:ascii="Times New Roman"/>
                <w:color w:val="000000"/>
                <w:sz w:val="21"/>
                <w:szCs w:val="21"/>
              </w:rPr>
              <w:t xml:space="preserve">Producer</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Variety, planting date, inputs, harvest date, lot ID, yield</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Processing, compliance, trading</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Yes - lot traceability</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3. Procurement &amp; Processing</w:t>
            </w:r>
          </w:p>
        </w:tc>
        <w:tc>
          <w:tcPr>
            <w:tcW w:type="pct" w:w="14%"/>
            <w:shd w:fill="F8F0EB" w:val="clear"/>
            <w:tcMar>
              <w:top w:type="dxa" w:w="60"/>
              <w:left w:type="dxa" w:w="120"/>
              <w:bottom w:type="dxa" w:w="60"/>
              <w:right w:type="dxa" w:w="120"/>
            </w:tcMar>
          </w:tcPr>
          <w:p>
            <w:r>
              <w:rPr>
                <w:rFonts w:ascii="Times New Roman"/>
                <w:color w:val="000000"/>
                <w:sz w:val="21"/>
                <w:szCs w:val="21"/>
              </w:rPr>
              <w:t xml:space="preserve">Aggregator</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Cherry intake, batch ID, processing stages, green bean yield</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Quality, compliance, trading</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Yes - chain of custody</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4. Quality &amp; Certification</w:t>
            </w:r>
          </w:p>
        </w:tc>
        <w:tc>
          <w:tcPr>
            <w:tcW w:type="pct" w:w="14%"/>
            <w:shd w:fill="FFFFFF" w:val="clear"/>
            <w:tcMar>
              <w:top w:type="dxa" w:w="60"/>
              <w:left w:type="dxa" w:w="120"/>
              <w:bottom w:type="dxa" w:w="60"/>
              <w:right w:type="dxa" w:w="120"/>
            </w:tcMar>
          </w:tcPr>
          <w:p>
            <w:r>
              <w:rPr>
                <w:rFonts w:ascii="Times New Roman"/>
                <w:color w:val="000000"/>
                <w:sz w:val="21"/>
                <w:szCs w:val="21"/>
              </w:rPr>
              <w:t xml:space="preserve">Cert Body / Lab</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Cupping scores, defect counts, grade, cert status</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Trading, compliance, pricing</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Indirect - supports claims</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5. EUDR Compliance Package</w:t>
            </w:r>
          </w:p>
        </w:tc>
        <w:tc>
          <w:tcPr>
            <w:tcW w:type="pct" w:w="14%"/>
            <w:shd w:fill="F8F0EB" w:val="clear"/>
            <w:tcMar>
              <w:top w:type="dxa" w:w="60"/>
              <w:left w:type="dxa" w:w="120"/>
              <w:bottom w:type="dxa" w:w="60"/>
              <w:right w:type="dxa" w:w="120"/>
            </w:tcMar>
          </w:tcPr>
          <w:p>
            <w:r>
              <w:rPr>
                <w:rFonts w:ascii="Times New Roman"/>
                <w:color w:val="000000"/>
                <w:sz w:val="21"/>
                <w:szCs w:val="21"/>
              </w:rPr>
              <w:t xml:space="preserve">Aggregator / Exporter</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Due diligence statement, deforestation assessment, DDS</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EU customs, buyer verification</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Yes - the core output</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6. Trade &amp; Export</w:t>
            </w:r>
          </w:p>
        </w:tc>
        <w:tc>
          <w:tcPr>
            <w:tcW w:type="pct" w:w="14%"/>
            <w:shd w:fill="FFFFFF" w:val="clear"/>
            <w:tcMar>
              <w:top w:type="dxa" w:w="60"/>
              <w:left w:type="dxa" w:w="120"/>
              <w:bottom w:type="dxa" w:w="60"/>
              <w:right w:type="dxa" w:w="120"/>
            </w:tcMar>
          </w:tcPr>
          <w:p>
            <w:r>
              <w:rPr>
                <w:rFonts w:ascii="Times New Roman"/>
                <w:color w:val="000000"/>
                <w:sz w:val="21"/>
                <w:szCs w:val="21"/>
              </w:rPr>
              <w:t xml:space="preserve">Exporter</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RFQ, contract, shipment, export docs, TRACES notification</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Buyer, customs, finance</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Yes - DDS must travel with shipment</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7. Buyer Verification</w:t>
            </w:r>
          </w:p>
        </w:tc>
        <w:tc>
          <w:tcPr>
            <w:tcW w:type="pct" w:w="14%"/>
            <w:shd w:fill="F8F0EB" w:val="clear"/>
            <w:tcMar>
              <w:top w:type="dxa" w:w="60"/>
              <w:left w:type="dxa" w:w="120"/>
              <w:bottom w:type="dxa" w:w="60"/>
              <w:right w:type="dxa" w:w="120"/>
            </w:tcMar>
          </w:tcPr>
          <w:p>
            <w:r>
              <w:rPr>
                <w:rFonts w:ascii="Times New Roman"/>
                <w:color w:val="000000"/>
                <w:sz w:val="21"/>
                <w:szCs w:val="21"/>
              </w:rPr>
              <w:t xml:space="preserve">Importer</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Compliance status review, lot trace verification</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Internal compliance, EU authorities</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Yes - importer's own DDS obligation</w:t>
            </w:r>
          </w:p>
        </w:tc>
      </w:tr>
    </w:tbl>
    <w:p>
      <w:pPr>
        <w:pStyle w:val="Heading2"/>
        <w:spacing w:after="120" w:before="280" w:line="312"/>
      </w:pPr>
      <w:bookmarkStart w:id="100028" w:name="_Toc100028"/>
      <w:r>
        <w:rPr>
          <w:rFonts w:ascii="Times New Roman"/>
          <w:b/>
          <w:bCs/>
          <w:color w:val="1A2330"/>
          <w:sz w:val="28"/>
          <w:szCs w:val="28"/>
        </w:rPr>
        <w:t xml:space="preserve">7.2 Cross-Tenant Data Exchange</w:t>
      </w:r>
      <w:bookmarkEnd w:id="100028"/>
    </w:p>
    <w:p>
      <w:pPr>
        <w:spacing w:after="80" w:line="312"/>
        <w:jc w:val="both"/>
      </w:pPr>
      <w:r>
        <w:rPr>
          <w:rFonts w:ascii="Times New Roman"/>
          <w:color w:val="000000"/>
          <w:sz w:val="24"/>
          <w:szCs w:val="24"/>
        </w:rPr>
        <w:t xml:space="preserve">One of Terra Brew's most powerful differentiators is its cross-tenant data exchange capability. When an exporter creates a shipment, they can link lots from multiple upstream suppliers (producers and aggregators), and the compliance data flows automatically. The buyer sees the complete chain without needing to contact each supplier individually. This is achieved through the EntityRelationship model, which defines trusted links between tenants.</w:t>
      </w:r>
    </w:p>
    <w:p>
      <w:pPr>
        <w:spacing w:after="80" w:line="312"/>
        <w:jc w:val="both"/>
      </w:pPr>
      <w:r>
        <w:rPr>
          <w:rFonts w:ascii="Times New Roman"/>
          <w:color w:val="000000"/>
          <w:sz w:val="24"/>
          <w:szCs w:val="24"/>
        </w:rPr>
        <w:t xml:space="preserve">For example, when Euro Coffee Imports (exporter) prepares a shipment containing coffee from Metrang Coffee (producer) and Cooxupé (aggregator), the EUDR compliance record automatically includes GPS polygons from Metrang's farm lands and processing data from Cooxupé's batches. The buyer sees a single, verified compliance package that covers the entire supply chain. No competitor in this space offers this level of automated cross-tenant data assembly.</w:t>
      </w:r>
    </w:p>
    <w:p>
      <w:pPr>
        <w:pStyle w:val="Heading2"/>
        <w:spacing w:after="120" w:before="280" w:line="312"/>
      </w:pPr>
      <w:bookmarkStart w:id="100029" w:name="_Toc100029"/>
      <w:r>
        <w:rPr>
          <w:rFonts w:ascii="Times New Roman"/>
          <w:b/>
          <w:bCs/>
          <w:color w:val="1A2330"/>
          <w:sz w:val="28"/>
          <w:szCs w:val="28"/>
        </w:rPr>
        <w:t xml:space="preserve">7.3 Data Entry vs. Data Consumption by Role</w:t>
      </w:r>
      <w:bookmarkEnd w:id="100029"/>
    </w:p>
    <w:p>
      <w:pPr>
        <w:spacing w:after="80" w:line="312"/>
        <w:jc w:val="both"/>
      </w:pPr>
      <w:r>
        <w:rPr>
          <w:rFonts w:ascii="Times New Roman"/>
          <w:color w:val="000000"/>
          <w:sz w:val="24"/>
          <w:szCs w:val="24"/>
        </w:rPr>
        <w:t xml:space="preserve">Not all roles enter data. Some roles primarily consume data that was entered upstream. Understanding this distinction is critical for UX design: data-entry roles need efficient forms and mobile interfaces, while data-consumption roles need dashboards, reports, and verification tools.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14%"/>
            <w:shd w:fill="D4875A" w:val="clear"/>
            <w:tcMar>
              <w:top w:type="dxa" w:w="60"/>
              <w:left w:type="dxa" w:w="120"/>
              <w:bottom w:type="dxa" w:w="60"/>
              <w:right w:type="dxa" w:w="120"/>
            </w:tcMar>
          </w:tcPr>
          <w:p>
            <w:r>
              <w:rPr>
                <w:rFonts w:ascii="Times New Roman"/>
                <w:b/>
                <w:bCs/>
                <w:color w:val="FFFFFF"/>
                <w:sz w:val="21"/>
                <w:szCs w:val="21"/>
              </w:rPr>
              <w:t xml:space="preserve">Role</w:t>
            </w:r>
          </w:p>
        </w:tc>
        <w:tc>
          <w:tcPr>
            <w:tcW w:type="pct" w:w="16%"/>
            <w:shd w:fill="D4875A" w:val="clear"/>
            <w:tcMar>
              <w:top w:type="dxa" w:w="60"/>
              <w:left w:type="dxa" w:w="120"/>
              <w:bottom w:type="dxa" w:w="60"/>
              <w:right w:type="dxa" w:w="120"/>
            </w:tcMar>
          </w:tcPr>
          <w:p>
            <w:r>
              <w:rPr>
                <w:rFonts w:ascii="Times New Roman"/>
                <w:b/>
                <w:bCs/>
                <w:color w:val="FFFFFF"/>
                <w:sz w:val="21"/>
                <w:szCs w:val="21"/>
              </w:rPr>
              <w:t xml:space="preserve">Primary Action</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Key Data They Enter</w:t>
            </w:r>
          </w:p>
        </w:tc>
        <w:tc>
          <w:tcPr>
            <w:tcW w:type="pct" w:w="22%"/>
            <w:shd w:fill="D4875A" w:val="clear"/>
            <w:tcMar>
              <w:top w:type="dxa" w:w="60"/>
              <w:left w:type="dxa" w:w="120"/>
              <w:bottom w:type="dxa" w:w="60"/>
              <w:right w:type="dxa" w:w="120"/>
            </w:tcMar>
          </w:tcPr>
          <w:p>
            <w:r>
              <w:rPr>
                <w:rFonts w:ascii="Times New Roman"/>
                <w:b/>
                <w:bCs/>
                <w:color w:val="FFFFFF"/>
                <w:sz w:val="21"/>
                <w:szCs w:val="21"/>
              </w:rPr>
              <w:t xml:space="preserve">Key Data They View</w:t>
            </w:r>
          </w:p>
        </w:tc>
        <w:tc>
          <w:tcPr>
            <w:tcW w:type="pct" w:w="28%"/>
            <w:shd w:fill="D4875A" w:val="clear"/>
            <w:tcMar>
              <w:top w:type="dxa" w:w="60"/>
              <w:left w:type="dxa" w:w="120"/>
              <w:bottom w:type="dxa" w:w="60"/>
              <w:right w:type="dxa" w:w="120"/>
            </w:tcMar>
          </w:tcPr>
          <w:p>
            <w:r>
              <w:rPr>
                <w:rFonts w:ascii="Times New Roman"/>
                <w:b/>
                <w:bCs/>
                <w:color w:val="FFFFFF"/>
                <w:sz w:val="21"/>
                <w:szCs w:val="21"/>
              </w:rPr>
              <w:t xml:space="preserve">Interface Priority</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Field Officer</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Data Entry</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Farmer info, GPS, cultivation, harvest</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Farm dashboard, compliance status</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Mobile-optimized forms</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Operations Manager</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Data Entry + Management</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Procurement, processing, shipments</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Operational dashboards, compliance overview</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Desktop dashboard + forms</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Quality Controller</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Data Entry</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Inspection results, cupping scores</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Quality reports, certification status</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Desktop forms + reports</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Trader</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Data Entry + Negotiation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RFQs, prices, contract terms</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Market data, lot availability, quality</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Trading desk + analytics</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Compliance Officer</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Data Verification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Compliance review, DDS approval</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EUDR status, audit trail, risk alerts</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Compliance dashboard + reports</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Buyer</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Data Consumption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RFQ requirements</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Compliance status, trace journey, quality</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Dashboard + verification tools</w:t>
            </w:r>
          </w:p>
        </w:tc>
      </w:tr>
      <w:tr>
        <w:trPr>
          <w:cantSplit/>
        </w:trPr>
        <w:tc>
          <w:tcPr>
            <w:tcW w:type="pct" w:w="14%"/>
            <w:shd w:fill="F8F0EB" w:val="clear"/>
            <w:tcMar>
              <w:top w:type="dxa" w:w="60"/>
              <w:left w:type="dxa" w:w="120"/>
              <w:bottom w:type="dxa" w:w="60"/>
              <w:right w:type="dxa" w:w="120"/>
            </w:tcMar>
          </w:tcPr>
          <w:p>
            <w:r>
              <w:rPr>
                <w:rFonts w:ascii="Times New Roman"/>
                <w:color w:val="000000"/>
                <w:sz w:val="21"/>
                <w:szCs w:val="21"/>
              </w:rPr>
              <w:t xml:space="preserve">Finance Manager</w:t>
            </w:r>
          </w:p>
        </w:tc>
        <w:tc>
          <w:tcPr>
            <w:tcW w:type="pct" w:w="16%"/>
            <w:shd w:fill="F8F0EB" w:val="clear"/>
            <w:tcMar>
              <w:top w:type="dxa" w:w="60"/>
              <w:left w:type="dxa" w:w="120"/>
              <w:bottom w:type="dxa" w:w="60"/>
              <w:right w:type="dxa" w:w="120"/>
            </w:tcMar>
          </w:tcPr>
          <w:p>
            <w:r>
              <w:rPr>
                <w:rFonts w:ascii="Times New Roman"/>
                <w:color w:val="000000"/>
                <w:sz w:val="21"/>
                <w:szCs w:val="21"/>
              </w:rPr>
              <w:t xml:space="preserve">Data Entry</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Payment processing, billing</w:t>
            </w:r>
          </w:p>
        </w:tc>
        <w:tc>
          <w:tcPr>
            <w:tcW w:type="pct" w:w="22%"/>
            <w:shd w:fill="F8F0EB" w:val="clear"/>
            <w:tcMar>
              <w:top w:type="dxa" w:w="60"/>
              <w:left w:type="dxa" w:w="120"/>
              <w:bottom w:type="dxa" w:w="60"/>
              <w:right w:type="dxa" w:w="120"/>
            </w:tcMar>
          </w:tcPr>
          <w:p>
            <w:r>
              <w:rPr>
                <w:rFonts w:ascii="Times New Roman"/>
                <w:color w:val="000000"/>
                <w:sz w:val="21"/>
                <w:szCs w:val="21"/>
              </w:rPr>
              <w:t xml:space="preserve">Revenue, costs, escrow status</w:t>
            </w:r>
          </w:p>
        </w:tc>
        <w:tc>
          <w:tcPr>
            <w:tcW w:type="pct" w:w="28%"/>
            <w:shd w:fill="F8F0EB" w:val="clear"/>
            <w:tcMar>
              <w:top w:type="dxa" w:w="60"/>
              <w:left w:type="dxa" w:w="120"/>
              <w:bottom w:type="dxa" w:w="60"/>
              <w:right w:type="dxa" w:w="120"/>
            </w:tcMar>
          </w:tcPr>
          <w:p>
            <w:r>
              <w:rPr>
                <w:rFonts w:ascii="Times New Roman"/>
                <w:color w:val="000000"/>
                <w:sz w:val="21"/>
                <w:szCs w:val="21"/>
              </w:rPr>
              <w:t xml:space="preserve">Financial dashboard</w:t>
            </w:r>
          </w:p>
        </w:tc>
      </w:tr>
      <w:tr>
        <w:trPr>
          <w:cantSplit/>
        </w:trPr>
        <w:tc>
          <w:tcPr>
            <w:tcW w:type="pct" w:w="14%"/>
            <w:shd w:fill="FFFFFF" w:val="clear"/>
            <w:tcMar>
              <w:top w:type="dxa" w:w="60"/>
              <w:left w:type="dxa" w:w="120"/>
              <w:bottom w:type="dxa" w:w="60"/>
              <w:right w:type="dxa" w:w="120"/>
            </w:tcMar>
          </w:tcPr>
          <w:p>
            <w:r>
              <w:rPr>
                <w:rFonts w:ascii="Times New Roman"/>
                <w:color w:val="000000"/>
                <w:sz w:val="21"/>
                <w:szCs w:val="21"/>
              </w:rPr>
              <w:t xml:space="preserve">Viewer</w:t>
            </w:r>
          </w:p>
        </w:tc>
        <w:tc>
          <w:tcPr>
            <w:tcW w:type="pct" w:w="16%"/>
            <w:shd w:fill="FFFFFF" w:val="clear"/>
            <w:tcMar>
              <w:top w:type="dxa" w:w="60"/>
              <w:left w:type="dxa" w:w="120"/>
              <w:bottom w:type="dxa" w:w="60"/>
              <w:right w:type="dxa" w:w="120"/>
            </w:tcMar>
          </w:tcPr>
          <w:p>
            <w:r>
              <w:rPr>
                <w:rFonts w:ascii="Times New Roman"/>
                <w:color w:val="000000"/>
                <w:sz w:val="21"/>
                <w:szCs w:val="21"/>
              </w:rPr>
              <w:t xml:space="preserve">Data Consumption Only</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None</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Assigned reports and dashboards</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Read-only dashboard</w:t>
            </w:r>
          </w:p>
        </w:tc>
      </w:tr>
    </w:tbl>
    <w:p>
      <w:pPr>
        <w:pStyle w:val="Heading1"/>
        <w:spacing w:after="160" w:before="360" w:line="312"/>
      </w:pPr>
      <w:bookmarkStart w:id="100030" w:name="_Toc100030"/>
      <w:r>
        <w:rPr>
          <w:rFonts w:ascii="Times New Roman"/>
          <w:b/>
          <w:bCs/>
          <w:color w:val="1A2330"/>
          <w:sz w:val="32"/>
          <w:szCs w:val="32"/>
        </w:rPr>
        <w:t xml:space="preserve">8. Landing Page Redesign Strategy</w:t>
      </w:r>
      <w:bookmarkEnd w:id="100030"/>
    </w:p>
    <w:p>
      <w:pPr>
        <w:pStyle w:val="Heading2"/>
        <w:spacing w:after="120" w:before="280" w:line="312"/>
      </w:pPr>
      <w:bookmarkStart w:id="100031" w:name="_Toc100031"/>
      <w:r>
        <w:rPr>
          <w:rFonts w:ascii="Times New Roman"/>
          <w:b/>
          <w:bCs/>
          <w:color w:val="1A2330"/>
          <w:sz w:val="28"/>
          <w:szCs w:val="28"/>
        </w:rPr>
        <w:t xml:space="preserve">8.1 Narrative Structure: Problem-Stakes-Solution-How-Proof</w:t>
      </w:r>
      <w:bookmarkEnd w:id="100031"/>
    </w:p>
    <w:p>
      <w:pPr>
        <w:spacing w:after="80" w:line="312"/>
        <w:jc w:val="both"/>
      </w:pPr>
      <w:r>
        <w:rPr>
          <w:rFonts w:ascii="Times New Roman"/>
          <w:color w:val="000000"/>
          <w:sz w:val="24"/>
          <w:szCs w:val="24"/>
        </w:rPr>
        <w:t xml:space="preserve">The current landing page follows a feature-first structure (capabilities, then stakeholders, then security). The repositioned page must follow a narrative structure that mirrors the buyer's decision journey. Every section must answer a specific question the buyer is asking at that moment: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b/>
                <w:bCs/>
                <w:color w:val="FFFFFF"/>
                <w:sz w:val="21"/>
                <w:szCs w:val="21"/>
              </w:rPr>
              <w:t xml:space="preserve">Section</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Buyer's Question</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Content</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Emotional State</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1. Hero + Ticker</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'Is this relevant to me?'</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'EUDR Compliance &amp; Traceability for Coffee Supply Chains' + live coffee price ticker</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Attention</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2. Problem Statement</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'What happens if I do nothing?'</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EUDR penalties, supply chain opacity, manual compliance burden</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Urgency</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3. Stakes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'How bad could it be?'</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4% EU revenue penalty, shipment seizures, reputational damage</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Fear</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4. Solution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'How does this fix it?'</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Terra Brew's 5 value buckets, explained in business outcomes</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Hope</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5. How It Works</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'Show me the flow'</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Seed-to-cup data flow with compliance layer highlighted</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Understanding</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6. Proof</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'Has this worked?'</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Tenant success stories, verified plots count, compliance stats</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Trust</w:t>
            </w:r>
          </w:p>
        </w:tc>
      </w:tr>
      <w:tr>
        <w:trPr>
          <w:cantSplit/>
        </w:trPr>
        <w:tc>
          <w:tcPr>
            <w:tcW w:type="pct" w:w="15%"/>
            <w:shd w:fill="F8F0EB" w:val="clear"/>
            <w:tcMar>
              <w:top w:type="dxa" w:w="60"/>
              <w:left w:type="dxa" w:w="120"/>
              <w:bottom w:type="dxa" w:w="60"/>
              <w:right w:type="dxa" w:w="120"/>
            </w:tcMar>
          </w:tcPr>
          <w:p>
            <w:r>
              <w:rPr>
                <w:rFonts w:ascii="Times New Roman"/>
                <w:color w:val="000000"/>
                <w:sz w:val="21"/>
                <w:szCs w:val="21"/>
              </w:rPr>
              <w:t xml:space="preserve">7. CTA</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'What do I do next?'</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'Start EUDR Compliance Check' / 'Book Demo'</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Action</w:t>
            </w:r>
          </w:p>
        </w:tc>
      </w:tr>
    </w:tbl>
    <w:p>
      <w:pPr>
        <w:pStyle w:val="Heading2"/>
        <w:spacing w:after="120" w:before="280" w:line="312"/>
      </w:pPr>
      <w:bookmarkStart w:id="100032" w:name="_Toc100032"/>
      <w:r>
        <w:rPr>
          <w:rFonts w:ascii="Times New Roman"/>
          <w:b/>
          <w:bCs/>
          <w:color w:val="1A2330"/>
          <w:sz w:val="28"/>
          <w:szCs w:val="28"/>
        </w:rPr>
        <w:t xml:space="preserve">8.2 Hero Section Rewrite</w:t>
      </w:r>
      <w:bookmarkEnd w:id="100032"/>
    </w:p>
    <w:p>
      <w:pPr>
        <w:spacing w:after="80" w:line="312"/>
        <w:jc w:val="both"/>
      </w:pPr>
      <w:r>
        <w:rPr>
          <w:rFonts w:ascii="Times New Roman"/>
          <w:color w:val="000000"/>
          <w:sz w:val="24"/>
          <w:szCs w:val="24"/>
        </w:rPr>
        <w:t xml:space="preserve">The hero section must make an immediate, visceral connection. Here is the proposed rewrite:</w:t>
      </w:r>
    </w:p>
    <w:p>
      <w:pPr>
        <w:spacing w:after="80" w:line="312"/>
        <w:jc w:val="both"/>
      </w:pPr>
      <w:r>
        <w:rPr>
          <w:rFonts w:ascii="Times New Roman"/>
          <w:b/>
          <w:bCs/>
          <w:color w:val="000000"/>
          <w:sz w:val="24"/>
          <w:szCs w:val="24"/>
        </w:rPr>
        <w:t xml:space="preserve">Headline: </w:t>
      </w:r>
      <w:r>
        <w:rPr>
          <w:rFonts w:ascii="Times New Roman"/>
          <w:b w:val="false"/>
          <w:bCs w:val="false"/>
          <w:color w:val="000000"/>
          <w:sz w:val="24"/>
          <w:szCs w:val="24"/>
        </w:rPr>
        <w:t xml:space="preserve">EUDR Compliance &amp; Traceability for Coffee Supply Chains</w:t>
      </w:r>
    </w:p>
    <w:p>
      <w:pPr>
        <w:spacing w:after="80" w:line="312"/>
        <w:jc w:val="both"/>
      </w:pPr>
      <w:r>
        <w:rPr>
          <w:rFonts w:ascii="Times New Roman"/>
          <w:b/>
          <w:bCs/>
          <w:color w:val="000000"/>
          <w:sz w:val="24"/>
          <w:szCs w:val="24"/>
        </w:rPr>
        <w:t xml:space="preserve">Subheadline: </w:t>
      </w:r>
      <w:r>
        <w:rPr>
          <w:rFonts w:ascii="Times New Roman"/>
          <w:b w:val="false"/>
          <w:bCs w:val="false"/>
          <w:color w:val="000000"/>
          <w:sz w:val="24"/>
          <w:szCs w:val="24"/>
        </w:rPr>
        <w:t xml:space="preserve">If you export coffee to the EU, you need this. Ensure EUDR compliance with GPS-based deforestation verification, automated due diligence statements, and end-to-end supply chain traceability from farm to buyer.</w:t>
      </w:r>
    </w:p>
    <w:p>
      <w:pPr>
        <w:spacing w:after="80" w:line="312"/>
        <w:jc w:val="both"/>
      </w:pPr>
      <w:r>
        <w:rPr>
          <w:rFonts w:ascii="Times New Roman"/>
          <w:b/>
          <w:bCs/>
          <w:color w:val="000000"/>
          <w:sz w:val="24"/>
          <w:szCs w:val="24"/>
        </w:rPr>
        <w:t xml:space="preserve">CTA Primary: </w:t>
      </w:r>
      <w:r>
        <w:rPr>
          <w:rFonts w:ascii="Times New Roman"/>
          <w:b w:val="false"/>
          <w:bCs w:val="false"/>
          <w:color w:val="000000"/>
          <w:sz w:val="24"/>
          <w:szCs w:val="24"/>
        </w:rPr>
        <w:t xml:space="preserve">Start EUDR Compliance Check</w:t>
      </w:r>
    </w:p>
    <w:p>
      <w:pPr>
        <w:spacing w:after="80" w:line="312"/>
        <w:jc w:val="both"/>
      </w:pPr>
      <w:r>
        <w:rPr>
          <w:rFonts w:ascii="Times New Roman"/>
          <w:b/>
          <w:bCs/>
          <w:color w:val="000000"/>
          <w:sz w:val="24"/>
          <w:szCs w:val="24"/>
        </w:rPr>
        <w:t xml:space="preserve">CTA Secondary: </w:t>
      </w:r>
      <w:r>
        <w:rPr>
          <w:rFonts w:ascii="Times New Roman"/>
          <w:b w:val="false"/>
          <w:bCs w:val="false"/>
          <w:color w:val="000000"/>
          <w:sz w:val="24"/>
          <w:szCs w:val="24"/>
        </w:rPr>
        <w:t xml:space="preserve">Book a Demo</w:t>
      </w:r>
    </w:p>
    <w:p>
      <w:pPr>
        <w:pStyle w:val="Heading2"/>
        <w:spacing w:after="120" w:before="280" w:line="312"/>
      </w:pPr>
      <w:bookmarkStart w:id="100033" w:name="_Toc100033"/>
      <w:r>
        <w:rPr>
          <w:rFonts w:ascii="Times New Roman"/>
          <w:b/>
          <w:bCs/>
          <w:color w:val="1A2330"/>
          <w:sz w:val="28"/>
          <w:szCs w:val="28"/>
        </w:rPr>
        <w:t xml:space="preserve">8.3 Value Bucket Presentation on Landing Page</w:t>
      </w:r>
      <w:bookmarkEnd w:id="100033"/>
    </w:p>
    <w:p>
      <w:pPr>
        <w:spacing w:after="80" w:line="312"/>
        <w:jc w:val="both"/>
      </w:pPr>
      <w:r>
        <w:rPr>
          <w:rFonts w:ascii="Times New Roman"/>
          <w:color w:val="000000"/>
          <w:sz w:val="24"/>
          <w:szCs w:val="24"/>
        </w:rPr>
        <w:t xml:space="preserve">Instead of listing 8 individual feature cards, present the 5 value buckets as the organizing framework. Each bucket gets a card with: a clear business outcome headline, 2-3 supporting bullet points in business language, and a link to explore. The compliance bucket should be visually emphasized (larger, centered, or highlighted with the accent color) as the hero bucket.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Bucket</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Landing Page Headline</w:t>
            </w:r>
          </w:p>
        </w:tc>
        <w:tc>
          <w:tcPr>
            <w:tcW w:type="pct" w:w="50%"/>
            <w:shd w:fill="D4875A" w:val="clear"/>
            <w:tcMar>
              <w:top w:type="dxa" w:w="60"/>
              <w:left w:type="dxa" w:w="120"/>
              <w:bottom w:type="dxa" w:w="60"/>
              <w:right w:type="dxa" w:w="120"/>
            </w:tcMar>
          </w:tcPr>
          <w:p>
            <w:r>
              <w:rPr>
                <w:rFonts w:ascii="Times New Roman"/>
                <w:b/>
                <w:bCs/>
                <w:color w:val="FFFFFF"/>
                <w:sz w:val="21"/>
                <w:szCs w:val="21"/>
              </w:rPr>
              <w:t xml:space="preserve">Key Bullet Points</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Farm Data Capture</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Capture farm-level data once, use everywhere</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GPS polygon mapping for EUDR verification; Harvest traceability with lot-level tracking; Automatic data flow to compliance and quality modules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Processing &amp; Quality</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Track every batch through 11 processing stages</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Batch-level traceability from cherry to green bean; Lab-verified quality certificates; Certification assessment integration</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Compliance &amp; Certification (HERO)</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EUDR compliance, guaranteed</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GPS-based deforestation verification; Automated due diligence statement generation; Export-ready compliance document packages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Trade &amp; Contracts</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Close deals faster with integrated compliance</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RFQ to smart contract in one system; Escrow-backed trade agreements; Cross-border logistics coordination</w:t>
            </w:r>
          </w:p>
        </w:tc>
      </w:tr>
      <w:tr>
        <w:trPr>
          <w:cantSplit/>
        </w:trPr>
        <w:tc>
          <w:tcPr>
            <w:tcW w:type="pct" w:w="20%"/>
            <w:shd w:fill="F8F0EB" w:val="clear"/>
            <w:tcMar>
              <w:top w:type="dxa" w:w="60"/>
              <w:left w:type="dxa" w:w="120"/>
              <w:bottom w:type="dxa" w:w="60"/>
              <w:right w:type="dxa" w:w="120"/>
            </w:tcMar>
          </w:tcPr>
          <w:p>
            <w:r>
              <w:rPr>
                <w:rFonts w:ascii="Times New Roman"/>
                <w:color w:val="000000"/>
                <w:sz w:val="21"/>
                <w:szCs w:val="21"/>
              </w:rPr>
              <w:t xml:space="preserve">Operations &amp; Admin</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Enterprise-grade security and integration</w:t>
            </w:r>
          </w:p>
        </w:tc>
        <w:tc>
          <w:tcPr>
            <w:tcW w:type="pct" w:w="50%"/>
            <w:shd w:fill="F8F0EB" w:val="clear"/>
            <w:tcMar>
              <w:top w:type="dxa" w:w="60"/>
              <w:left w:type="dxa" w:w="120"/>
              <w:bottom w:type="dxa" w:w="60"/>
              <w:right w:type="dxa" w:w="120"/>
            </w:tcMar>
          </w:tcPr>
          <w:p>
            <w:r>
              <w:rPr>
                <w:rFonts w:ascii="Times New Roman"/>
                <w:color w:val="000000"/>
                <w:sz w:val="21"/>
                <w:szCs w:val="21"/>
              </w:rPr>
              <w:t xml:space="preserve">Role-based access with 8 permission levels; API and webhook integrations; Blockchain-anchored audit trail</w:t>
            </w:r>
          </w:p>
        </w:tc>
      </w:tr>
    </w:tbl>
    <w:p>
      <w:pPr>
        <w:pStyle w:val="Heading1"/>
        <w:spacing w:after="160" w:before="360" w:line="312"/>
      </w:pPr>
      <w:bookmarkStart w:id="100034" w:name="_Toc100034"/>
      <w:r>
        <w:rPr>
          <w:rFonts w:ascii="Times New Roman"/>
          <w:b/>
          <w:bCs/>
          <w:color w:val="1A2330"/>
          <w:sz w:val="32"/>
          <w:szCs w:val="32"/>
        </w:rPr>
        <w:t xml:space="preserve">9. Go-to-Market Roadmap</w:t>
      </w:r>
      <w:bookmarkEnd w:id="100034"/>
    </w:p>
    <w:p>
      <w:pPr>
        <w:pStyle w:val="Heading2"/>
        <w:spacing w:after="120" w:before="280" w:line="312"/>
      </w:pPr>
      <w:bookmarkStart w:id="100035" w:name="_Toc100035"/>
      <w:r>
        <w:rPr>
          <w:rFonts w:ascii="Times New Roman"/>
          <w:b/>
          <w:bCs/>
          <w:color w:val="1A2330"/>
          <w:sz w:val="28"/>
          <w:szCs w:val="28"/>
        </w:rPr>
        <w:t xml:space="preserve">9.1 Phase 1: Compliance-First Launch (Weeks 1-4)</w:t>
      </w:r>
      <w:bookmarkEnd w:id="100035"/>
    </w:p>
    <w:p>
      <w:pPr>
        <w:spacing w:after="80" w:line="312"/>
        <w:jc w:val="both"/>
      </w:pPr>
      <w:r>
        <w:rPr>
          <w:rFonts w:ascii="Times New Roman"/>
          <w:color w:val="000000"/>
          <w:sz w:val="24"/>
          <w:szCs w:val="24"/>
        </w:rPr>
        <w:t xml:space="preserve">The first phase focuses exclusively on the EUDR compliance story. The landing page, demo, and sales materials all lead with compliance. The goal is to establish Terra Brew as the EUDR compliance solution for coffee, not as a generic traceability tool. This phase requires no new feature development; it is purely a positioning and presentation change.</w:t>
      </w:r>
    </w:p>
    <w:p>
      <w:pPr>
        <w:pStyle w:val="ListParagraph"/>
        <w:numPr>
          <w:ilvl w:val="0"/>
          <w:numId w:val="1"/>
        </w:numPr>
        <w:spacing w:after="40" w:line="312"/>
      </w:pPr>
      <w:r>
        <w:rPr>
          <w:rFonts w:ascii="Times New Roman"/>
          <w:color w:val="000000"/>
          <w:sz w:val="24"/>
          <w:szCs w:val="24"/>
        </w:rPr>
        <w:t xml:space="preserve">Reposition landing page with EUDR hero section, value buckets, and compliance-first narrative flow</w:t>
      </w:r>
    </w:p>
    <w:p>
      <w:pPr>
        <w:pStyle w:val="ListParagraph"/>
        <w:numPr>
          <w:ilvl w:val="0"/>
          <w:numId w:val="1"/>
        </w:numPr>
        <w:spacing w:after="40" w:line="312"/>
      </w:pPr>
      <w:r>
        <w:rPr>
          <w:rFonts w:ascii="Times New Roman"/>
          <w:color w:val="000000"/>
          <w:sz w:val="24"/>
          <w:szCs w:val="24"/>
        </w:rPr>
        <w:t xml:space="preserve">Add buyer entity type and buyer-specific dashboard showing compliance status, order tracking, and supplier verification</w:t>
      </w:r>
    </w:p>
    <w:p>
      <w:pPr>
        <w:pStyle w:val="ListParagraph"/>
        <w:numPr>
          <w:ilvl w:val="0"/>
          <w:numId w:val="1"/>
        </w:numPr>
        <w:spacing w:after="40" w:line="312"/>
      </w:pPr>
      <w:r>
        <w:rPr>
          <w:rFonts w:ascii="Times New Roman"/>
          <w:color w:val="000000"/>
          <w:sz w:val="24"/>
          <w:szCs w:val="24"/>
        </w:rPr>
        <w:t xml:space="preserve">Add global coffee price ticker as a sticky marquee element on the landing page and dashboard header</w:t>
      </w:r>
    </w:p>
    <w:p>
      <w:pPr>
        <w:pStyle w:val="ListParagraph"/>
        <w:numPr>
          <w:ilvl w:val="0"/>
          <w:numId w:val="1"/>
        </w:numPr>
        <w:spacing w:after="40" w:line="312"/>
      </w:pPr>
      <w:r>
        <w:rPr>
          <w:rFonts w:ascii="Times New Roman"/>
          <w:color w:val="000000"/>
          <w:sz w:val="24"/>
          <w:szCs w:val="24"/>
        </w:rPr>
        <w:t xml:space="preserve">Reorganize sidebar navigation from 7 groups to 5 value buckets with progressive disclosure</w:t>
      </w:r>
    </w:p>
    <w:p>
      <w:pPr>
        <w:pStyle w:val="ListParagraph"/>
        <w:numPr>
          <w:ilvl w:val="0"/>
          <w:numId w:val="1"/>
        </w:numPr>
        <w:spacing w:after="40" w:line="312"/>
      </w:pPr>
      <w:r>
        <w:rPr>
          <w:rFonts w:ascii="Times New Roman"/>
          <w:color w:val="000000"/>
          <w:sz w:val="24"/>
          <w:szCs w:val="24"/>
        </w:rPr>
        <w:t xml:space="preserve">Create role-specific dashboard defaults (compliance officer sees EUDR status first, trader sees trading desk first)</w:t>
      </w:r>
    </w:p>
    <w:p>
      <w:pPr>
        <w:pStyle w:val="ListParagraph"/>
        <w:numPr>
          <w:ilvl w:val="0"/>
          <w:numId w:val="1"/>
        </w:numPr>
        <w:spacing w:after="40" w:line="312"/>
      </w:pPr>
      <w:r>
        <w:rPr>
          <w:rFonts w:ascii="Times New Roman"/>
          <w:color w:val="000000"/>
          <w:sz w:val="24"/>
          <w:szCs w:val="24"/>
        </w:rPr>
        <w:t xml:space="preserve">Update all 5 i18n locales with new navigation labels and value bucket terminology</w:t>
      </w:r>
    </w:p>
    <w:p>
      <w:pPr>
        <w:pStyle w:val="Heading2"/>
        <w:spacing w:after="120" w:before="280" w:line="312"/>
      </w:pPr>
      <w:bookmarkStart w:id="100036" w:name="_Toc100036"/>
      <w:r>
        <w:rPr>
          <w:rFonts w:ascii="Times New Roman"/>
          <w:b/>
          <w:bCs/>
          <w:color w:val="1A2330"/>
          <w:sz w:val="28"/>
          <w:szCs w:val="28"/>
        </w:rPr>
        <w:t xml:space="preserve">9.2 Phase 2: Guided Onboarding (Weeks 5-8)</w:t>
      </w:r>
      <w:bookmarkEnd w:id="100036"/>
    </w:p>
    <w:p>
      <w:pPr>
        <w:spacing w:after="80" w:line="312"/>
        <w:jc w:val="both"/>
      </w:pPr>
      <w:r>
        <w:rPr>
          <w:rFonts w:ascii="Times New Roman"/>
          <w:color w:val="000000"/>
          <w:sz w:val="24"/>
          <w:szCs w:val="24"/>
        </w:rPr>
        <w:t xml:space="preserve">The second phase focuses on reducing time-to-value for new tenants. When a new organization signs up, they should be guided through a setup wizard that configures their entity type, invites users, and creates their first compliance record within 30 minutes. This eliminates the 'blank canvas' problem that makes enterprise software feel overwhelming.</w:t>
      </w:r>
    </w:p>
    <w:p>
      <w:pPr>
        <w:pStyle w:val="ListParagraph"/>
        <w:numPr>
          <w:ilvl w:val="0"/>
          <w:numId w:val="1"/>
        </w:numPr>
        <w:spacing w:after="40" w:line="312"/>
      </w:pPr>
      <w:r>
        <w:rPr>
          <w:rFonts w:ascii="Times New Roman"/>
          <w:color w:val="000000"/>
          <w:sz w:val="24"/>
          <w:szCs w:val="24"/>
        </w:rPr>
        <w:t xml:space="preserve">Build entity-type-specific onboarding wizards (Producer: register first farmer + map first plot; Exporter: link first supplier + generate first DDS)</w:t>
      </w:r>
    </w:p>
    <w:p>
      <w:pPr>
        <w:pStyle w:val="ListParagraph"/>
        <w:numPr>
          <w:ilvl w:val="0"/>
          <w:numId w:val="1"/>
        </w:numPr>
        <w:spacing w:after="40" w:line="312"/>
      </w:pPr>
      <w:r>
        <w:rPr>
          <w:rFonts w:ascii="Times New Roman"/>
          <w:color w:val="000000"/>
          <w:sz w:val="24"/>
          <w:szCs w:val="24"/>
        </w:rPr>
        <w:t xml:space="preserve">Create EUDR compliance checklist widget that shows progress toward a complete due diligence statement</w:t>
      </w:r>
    </w:p>
    <w:p>
      <w:pPr>
        <w:pStyle w:val="ListParagraph"/>
        <w:numPr>
          <w:ilvl w:val="0"/>
          <w:numId w:val="1"/>
        </w:numPr>
        <w:spacing w:after="40" w:line="312"/>
      </w:pPr>
      <w:r>
        <w:rPr>
          <w:rFonts w:ascii="Times New Roman"/>
          <w:color w:val="000000"/>
          <w:sz w:val="24"/>
          <w:szCs w:val="24"/>
        </w:rPr>
        <w:t xml:space="preserve">Add in-app contextual help that explains each module in business terms, not technical terms</w:t>
      </w:r>
    </w:p>
    <w:p>
      <w:pPr>
        <w:pStyle w:val="ListParagraph"/>
        <w:numPr>
          <w:ilvl w:val="0"/>
          <w:numId w:val="1"/>
        </w:numPr>
        <w:spacing w:after="40" w:line="312"/>
      </w:pPr>
      <w:r>
        <w:rPr>
          <w:rFonts w:ascii="Times New Roman"/>
          <w:color w:val="000000"/>
          <w:sz w:val="24"/>
          <w:szCs w:val="24"/>
        </w:rPr>
        <w:t xml:space="preserve">Implement 'quick actions' on the dashboard: 'Register a Farmer', 'Create a Batch', 'Generate DDS', 'Send RFQ'</w:t>
      </w:r>
    </w:p>
    <w:p>
      <w:pPr>
        <w:pStyle w:val="ListParagraph"/>
        <w:numPr>
          <w:ilvl w:val="0"/>
          <w:numId w:val="1"/>
        </w:numPr>
        <w:spacing w:after="40" w:line="312"/>
      </w:pPr>
      <w:r>
        <w:rPr>
          <w:rFonts w:ascii="Times New Roman"/>
          <w:color w:val="000000"/>
          <w:sz w:val="24"/>
          <w:szCs w:val="24"/>
        </w:rPr>
        <w:t xml:space="preserve">Build demo tenant with pre-populated data that shows a complete, compliant supply chain</w:t>
      </w:r>
    </w:p>
    <w:p>
      <w:pPr>
        <w:pStyle w:val="Heading2"/>
        <w:spacing w:after="120" w:before="280" w:line="312"/>
      </w:pPr>
      <w:bookmarkStart w:id="100037" w:name="_Toc100037"/>
      <w:r>
        <w:rPr>
          <w:rFonts w:ascii="Times New Roman"/>
          <w:b/>
          <w:bCs/>
          <w:color w:val="1A2330"/>
          <w:sz w:val="28"/>
          <w:szCs w:val="28"/>
        </w:rPr>
        <w:t xml:space="preserve">9.3 Phase 3: Sales Enablement (Weeks 9-12)</w:t>
      </w:r>
      <w:bookmarkEnd w:id="100037"/>
    </w:p>
    <w:p>
      <w:pPr>
        <w:spacing w:after="80" w:line="312"/>
        <w:jc w:val="both"/>
      </w:pPr>
      <w:r>
        <w:rPr>
          <w:rFonts w:ascii="Times New Roman"/>
          <w:color w:val="000000"/>
          <w:sz w:val="24"/>
          <w:szCs w:val="24"/>
        </w:rPr>
        <w:t xml:space="preserve">The third phase focuses on arming the sales team with the tools and content they need to sell the repositioned product. Every sales conversation should follow the Problem-Stakes-Solution-How-Proof narrative, and the sales materials should support this structure.</w:t>
      </w:r>
    </w:p>
    <w:p>
      <w:pPr>
        <w:pStyle w:val="ListParagraph"/>
        <w:numPr>
          <w:ilvl w:val="0"/>
          <w:numId w:val="1"/>
        </w:numPr>
        <w:spacing w:after="40" w:line="312"/>
      </w:pPr>
      <w:r>
        <w:rPr>
          <w:rFonts w:ascii="Times New Roman"/>
          <w:color w:val="000000"/>
          <w:sz w:val="24"/>
          <w:szCs w:val="24"/>
        </w:rPr>
        <w:t xml:space="preserve">Create EUDR compliance ROI calculator: input shipment volume, show penalty risk reduction and time savings</w:t>
      </w:r>
    </w:p>
    <w:p>
      <w:pPr>
        <w:pStyle w:val="ListParagraph"/>
        <w:numPr>
          <w:ilvl w:val="0"/>
          <w:numId w:val="1"/>
        </w:numPr>
        <w:spacing w:after="40" w:line="312"/>
      </w:pPr>
      <w:r>
        <w:rPr>
          <w:rFonts w:ascii="Times New Roman"/>
          <w:color w:val="000000"/>
          <w:sz w:val="24"/>
          <w:szCs w:val="24"/>
        </w:rPr>
        <w:t xml:space="preserve">Build industry-specific pitch decks: one for Vietnamese exporters, one for Brazilian cooperatives, one for EU importers</w:t>
      </w:r>
    </w:p>
    <w:p>
      <w:pPr>
        <w:pStyle w:val="ListParagraph"/>
        <w:numPr>
          <w:ilvl w:val="0"/>
          <w:numId w:val="1"/>
        </w:numPr>
        <w:spacing w:after="40" w:line="312"/>
      </w:pPr>
      <w:r>
        <w:rPr>
          <w:rFonts w:ascii="Times New Roman"/>
          <w:color w:val="000000"/>
          <w:sz w:val="24"/>
          <w:szCs w:val="24"/>
        </w:rPr>
        <w:t xml:space="preserve">Develop case study templates using seed tenant data (Metrang, Cooxupé, Euro Coffee)</w:t>
      </w:r>
    </w:p>
    <w:p>
      <w:pPr>
        <w:pStyle w:val="ListParagraph"/>
        <w:numPr>
          <w:ilvl w:val="0"/>
          <w:numId w:val="1"/>
        </w:numPr>
        <w:spacing w:after="40" w:line="312"/>
      </w:pPr>
      <w:r>
        <w:rPr>
          <w:rFonts w:ascii="Times New Roman"/>
          <w:color w:val="000000"/>
          <w:sz w:val="24"/>
          <w:szCs w:val="24"/>
        </w:rPr>
        <w:t xml:space="preserve">Create a 'compliance health check' lead magnet: free EUDR readiness assessment that converts to demo bookings</w:t>
      </w:r>
    </w:p>
    <w:p>
      <w:pPr>
        <w:pStyle w:val="ListParagraph"/>
        <w:numPr>
          <w:ilvl w:val="0"/>
          <w:numId w:val="1"/>
        </w:numPr>
        <w:spacing w:after="40" w:line="312"/>
      </w:pPr>
      <w:r>
        <w:rPr>
          <w:rFonts w:ascii="Times New Roman"/>
          <w:color w:val="000000"/>
          <w:sz w:val="24"/>
          <w:szCs w:val="24"/>
        </w:rPr>
        <w:t xml:space="preserve">Integrate analytics to track which value buckets get the most engagement, informing sales conversation priorities</w:t>
      </w:r>
    </w:p>
    <w:p>
      <w:pPr>
        <w:pStyle w:val="Heading1"/>
        <w:spacing w:after="160" w:before="360" w:line="312"/>
      </w:pPr>
      <w:bookmarkStart w:id="100038" w:name="_Toc100038"/>
      <w:r>
        <w:rPr>
          <w:rFonts w:ascii="Times New Roman"/>
          <w:b/>
          <w:bCs/>
          <w:color w:val="1A2330"/>
          <w:sz w:val="32"/>
          <w:szCs w:val="32"/>
        </w:rPr>
        <w:t xml:space="preserve">10. Implementation Priority Matrix</w:t>
      </w:r>
      <w:bookmarkEnd w:id="100038"/>
    </w:p>
    <w:p>
      <w:pPr>
        <w:spacing w:after="80" w:line="312"/>
        <w:jc w:val="both"/>
      </w:pPr>
      <w:r>
        <w:rPr>
          <w:rFonts w:ascii="Times New Roman"/>
          <w:color w:val="000000"/>
          <w:sz w:val="24"/>
          <w:szCs w:val="24"/>
        </w:rPr>
        <w:t xml:space="preserve">The following matrix ranks all implementation tasks by impact on sellability and effort required. Items in the top-left quadrant (high impact, low effort) should be implemented immediately. Items in the bottom-right (low impact, high effort) can be deferred.</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8%"/>
            <w:shd w:fill="D4875A" w:val="clear"/>
            <w:tcMar>
              <w:top w:type="dxa" w:w="60"/>
              <w:left w:type="dxa" w:w="120"/>
              <w:bottom w:type="dxa" w:w="60"/>
              <w:right w:type="dxa" w:w="120"/>
            </w:tcMar>
          </w:tcPr>
          <w:p>
            <w:r>
              <w:rPr>
                <w:rFonts w:ascii="Times New Roman"/>
                <w:b/>
                <w:bCs/>
                <w:color w:val="FFFFFF"/>
                <w:sz w:val="21"/>
                <w:szCs w:val="21"/>
              </w:rPr>
              <w:t xml:space="preserve">Priority</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Task</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Impact on Sellability</w:t>
            </w:r>
          </w:p>
        </w:tc>
        <w:tc>
          <w:tcPr>
            <w:tcW w:type="pct" w:w="12%"/>
            <w:shd w:fill="D4875A" w:val="clear"/>
            <w:tcMar>
              <w:top w:type="dxa" w:w="60"/>
              <w:left w:type="dxa" w:w="120"/>
              <w:bottom w:type="dxa" w:w="60"/>
              <w:right w:type="dxa" w:w="120"/>
            </w:tcMar>
          </w:tcPr>
          <w:p>
            <w:r>
              <w:rPr>
                <w:rFonts w:ascii="Times New Roman"/>
                <w:b/>
                <w:bCs/>
                <w:color w:val="FFFFFF"/>
                <w:sz w:val="21"/>
                <w:szCs w:val="21"/>
              </w:rPr>
              <w:t xml:space="preserve">Effort</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Phase</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P0</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Reposition landing page (EUDR hero, 5 buckets, narrative flow)</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Critical - this IS the repositioning</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P0</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Add buyer entity type + buyer dashboard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Critical - the paying customer needs their own experience</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P0</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Reorganize sidebar to 5 value buckets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Critical - reduces cognitive overload</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Low</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P1</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Add coffee price ticker</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High - creates engagement and repeat visits</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Low</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P1</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Role-specific dashboard defaults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High - immediate value perception on login</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P1</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Update i18n for new navigation labels</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High - consistency across all markets</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1</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P2</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EUDR compliance checklist widget</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Medium - guides users to completion</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2</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P2</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Quick actions on dashboard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Medium - reduces time to first action</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2</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P2</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Onboarding wizards per entity type</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Medium - reduces time to value</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High</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2</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P3</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EUDR ROI calculator</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Medium - sales enablement tool</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3</w:t>
            </w:r>
          </w:p>
        </w:tc>
      </w:tr>
      <w:tr>
        <w:trPr>
          <w:cantSplit/>
        </w:trPr>
        <w:tc>
          <w:tcPr>
            <w:tcW w:type="pct" w:w="8%"/>
            <w:shd w:fill="F8F0EB" w:val="clear"/>
            <w:tcMar>
              <w:top w:type="dxa" w:w="60"/>
              <w:left w:type="dxa" w:w="120"/>
              <w:bottom w:type="dxa" w:w="60"/>
              <w:right w:type="dxa" w:w="120"/>
            </w:tcMar>
          </w:tcPr>
          <w:p>
            <w:r>
              <w:rPr>
                <w:rFonts w:ascii="Times New Roman"/>
                <w:color w:val="000000"/>
                <w:sz w:val="21"/>
                <w:szCs w:val="21"/>
              </w:rPr>
              <w:t xml:space="preserve">P3</w:t>
            </w:r>
          </w:p>
        </w:tc>
        <w:tc>
          <w:tcPr>
            <w:tcW w:type="pct" w:w="35%"/>
            <w:shd w:fill="F8F0EB" w:val="clear"/>
            <w:tcMar>
              <w:top w:type="dxa" w:w="60"/>
              <w:left w:type="dxa" w:w="120"/>
              <w:bottom w:type="dxa" w:w="60"/>
              <w:right w:type="dxa" w:w="120"/>
            </w:tcMar>
          </w:tcPr>
          <w:p>
            <w:r>
              <w:rPr>
                <w:rFonts w:ascii="Times New Roman"/>
                <w:color w:val="000000"/>
                <w:sz w:val="21"/>
                <w:szCs w:val="21"/>
              </w:rPr>
              <w:t xml:space="preserve">Industry-specific pitch decks</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Medium - sales enablement</w:t>
            </w:r>
          </w:p>
        </w:tc>
        <w:tc>
          <w:tcPr>
            <w:tcW w:type="pct" w:w="12%"/>
            <w:shd w:fill="F8F0EB" w:val="clear"/>
            <w:tcMar>
              <w:top w:type="dxa" w:w="60"/>
              <w:left w:type="dxa" w:w="120"/>
              <w:bottom w:type="dxa" w:w="60"/>
              <w:right w:type="dxa" w:w="120"/>
            </w:tcMar>
          </w:tcPr>
          <w:p>
            <w:r>
              <w:rPr>
                <w:rFonts w:ascii="Times New Roman"/>
                <w:color w:val="000000"/>
                <w:sz w:val="21"/>
                <w:szCs w:val="21"/>
              </w:rPr>
              <w:t xml:space="preserve">Medium</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3</w:t>
            </w:r>
          </w:p>
        </w:tc>
      </w:tr>
      <w:tr>
        <w:trPr>
          <w:cantSplit/>
        </w:trPr>
        <w:tc>
          <w:tcPr>
            <w:tcW w:type="pct" w:w="8%"/>
            <w:shd w:fill="FFFFFF" w:val="clear"/>
            <w:tcMar>
              <w:top w:type="dxa" w:w="60"/>
              <w:left w:type="dxa" w:w="120"/>
              <w:bottom w:type="dxa" w:w="60"/>
              <w:right w:type="dxa" w:w="120"/>
            </w:tcMar>
          </w:tcPr>
          <w:p>
            <w:r>
              <w:rPr>
                <w:rFonts w:ascii="Times New Roman"/>
                <w:color w:val="000000"/>
                <w:sz w:val="21"/>
                <w:szCs w:val="21"/>
              </w:rPr>
              <w:t xml:space="preserve">P3</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Demo tenant with pre-populated data</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Low - nice to have for demos</w:t>
            </w:r>
          </w:p>
        </w:tc>
        <w:tc>
          <w:tcPr>
            <w:tcW w:type="pct" w:w="12%"/>
            <w:shd w:fill="FFFFFF" w:val="clear"/>
            <w:tcMar>
              <w:top w:type="dxa" w:w="60"/>
              <w:left w:type="dxa" w:w="120"/>
              <w:bottom w:type="dxa" w:w="60"/>
              <w:right w:type="dxa" w:w="120"/>
            </w:tcMar>
          </w:tcPr>
          <w:p>
            <w:r>
              <w:rPr>
                <w:rFonts w:ascii="Times New Roman"/>
                <w:color w:val="000000"/>
                <w:sz w:val="21"/>
                <w:szCs w:val="21"/>
              </w:rPr>
              <w:t xml:space="preserve">High</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3</w:t>
            </w:r>
          </w:p>
        </w:tc>
      </w:tr>
    </w:tbl>
    <w:p>
      <w:pPr>
        <w:pStyle w:val="Heading2"/>
        <w:spacing w:after="120" w:before="280" w:line="312"/>
      </w:pPr>
      <w:bookmarkStart w:id="100039" w:name="_Toc100039"/>
      <w:r>
        <w:rPr>
          <w:rFonts w:ascii="Times New Roman"/>
          <w:b/>
          <w:bCs/>
          <w:color w:val="1A2330"/>
          <w:sz w:val="28"/>
          <w:szCs w:val="28"/>
        </w:rPr>
        <w:t xml:space="preserve">10.1 What NOT to Build</w:t>
      </w:r>
      <w:bookmarkEnd w:id="100039"/>
    </w:p>
    <w:p>
      <w:pPr>
        <w:spacing w:after="80" w:line="312"/>
        <w:jc w:val="both"/>
      </w:pPr>
      <w:r>
        <w:rPr>
          <w:rFonts w:ascii="Times New Roman"/>
          <w:color w:val="000000"/>
          <w:sz w:val="24"/>
          <w:szCs w:val="24"/>
        </w:rPr>
        <w:t xml:space="preserve">Equally important is knowing what to deprioritize. The following features, while technically interesting, do not contribute to the core sellability of the platform in the current GTM phase and should be deferred:</w:t>
      </w:r>
    </w:p>
    <w:p>
      <w:pPr>
        <w:pStyle w:val="ListParagraph"/>
        <w:numPr>
          <w:ilvl w:val="0"/>
          <w:numId w:val="1"/>
        </w:numPr>
        <w:spacing w:after="40" w:line="312"/>
      </w:pPr>
      <w:r>
        <w:rPr>
          <w:rFonts w:ascii="Times New Roman"/>
          <w:color w:val="000000"/>
          <w:sz w:val="24"/>
          <w:szCs w:val="24"/>
        </w:rPr>
        <w:t xml:space="preserve">Mobile app (Expo/React Native): The web platform is the priority. Mobile can follow once the core product is validated and selling.</w:t>
      </w:r>
    </w:p>
    <w:p>
      <w:pPr>
        <w:pStyle w:val="ListParagraph"/>
        <w:numPr>
          <w:ilvl w:val="0"/>
          <w:numId w:val="1"/>
        </w:numPr>
        <w:spacing w:after="40" w:line="312"/>
      </w:pPr>
      <w:r>
        <w:rPr>
          <w:rFonts w:ascii="Times New Roman"/>
          <w:color w:val="000000"/>
          <w:sz w:val="24"/>
          <w:szCs w:val="24"/>
        </w:rPr>
        <w:t xml:space="preserve">NFC tag integration: Interesting for consumer-facing traceability, but not a compliance driver. Defer.</w:t>
      </w:r>
    </w:p>
    <w:p>
      <w:pPr>
        <w:pStyle w:val="ListParagraph"/>
        <w:numPr>
          <w:ilvl w:val="0"/>
          <w:numId w:val="1"/>
        </w:numPr>
        <w:spacing w:after="40" w:line="312"/>
      </w:pPr>
      <w:r>
        <w:rPr>
          <w:rFonts w:ascii="Times New Roman"/>
          <w:color w:val="000000"/>
          <w:sz w:val="24"/>
          <w:szCs w:val="24"/>
        </w:rPr>
        <w:t xml:space="preserve">Compliance marketplace: Useful but not critical. The compliance module itself is the product, not a marketplace for compliance services.</w:t>
      </w:r>
    </w:p>
    <w:p>
      <w:pPr>
        <w:pStyle w:val="ListParagraph"/>
        <w:numPr>
          <w:ilvl w:val="0"/>
          <w:numId w:val="1"/>
        </w:numPr>
        <w:spacing w:after="40" w:line="312"/>
      </w:pPr>
      <w:r>
        <w:rPr>
          <w:rFonts w:ascii="Times New Roman"/>
          <w:color w:val="000000"/>
          <w:sz w:val="24"/>
          <w:szCs w:val="24"/>
        </w:rPr>
        <w:t xml:space="preserve">Advanced IoT sensor dashboard: IoT data capture is useful but the dashboard is not a differentiator. Simple data ingestion is sufficient.</w:t>
      </w:r>
    </w:p>
    <w:p>
      <w:pPr>
        <w:pStyle w:val="ListParagraph"/>
        <w:numPr>
          <w:ilvl w:val="0"/>
          <w:numId w:val="1"/>
        </w:numPr>
        <w:spacing w:after="40" w:line="312"/>
      </w:pPr>
      <w:r>
        <w:rPr>
          <w:rFonts w:ascii="Times New Roman"/>
          <w:color w:val="000000"/>
          <w:sz w:val="24"/>
          <w:szCs w:val="24"/>
        </w:rPr>
        <w:t xml:space="preserve">Complex reporting engine: Basic analytics are sufficient for Phase 1. Advanced BI can be added based on customer demand.</w:t>
      </w:r>
    </w:p>
    <w:p>
      <w:pPr>
        <w:pStyle w:val="Heading2"/>
        <w:spacing w:after="120" w:before="280" w:line="312"/>
      </w:pPr>
      <w:bookmarkStart w:id="100040" w:name="_Toc100040"/>
      <w:r>
        <w:rPr>
          <w:rFonts w:ascii="Times New Roman"/>
          <w:b/>
          <w:bCs/>
          <w:color w:val="1A2330"/>
          <w:sz w:val="28"/>
          <w:szCs w:val="28"/>
        </w:rPr>
        <w:t xml:space="preserve">10.2 Success Metrics</w:t>
      </w:r>
      <w:bookmarkEnd w:id="100040"/>
    </w:p>
    <w:p>
      <w:pPr>
        <w:spacing w:after="80" w:line="312"/>
        <w:jc w:val="both"/>
      </w:pPr>
      <w:r>
        <w:rPr>
          <w:rFonts w:ascii="Times New Roman"/>
          <w:color w:val="000000"/>
          <w:sz w:val="24"/>
          <w:szCs w:val="24"/>
        </w:rPr>
        <w:t xml:space="preserve">The repositioning should be measured by its impact on the sales funnel, not by feature completeness. The following metrics should be tracked from day one: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b/>
                <w:bCs/>
                <w:color w:val="FFFFFF"/>
                <w:sz w:val="21"/>
                <w:szCs w:val="21"/>
              </w:rPr>
              <w:t xml:space="preserve">Metric</w:t>
            </w:r>
          </w:p>
        </w:tc>
        <w:tc>
          <w:tcPr>
            <w:tcW w:type="pct" w:w="20%"/>
            <w:shd w:fill="D4875A" w:val="clear"/>
            <w:tcMar>
              <w:top w:type="dxa" w:w="60"/>
              <w:left w:type="dxa" w:w="120"/>
              <w:bottom w:type="dxa" w:w="60"/>
              <w:right w:type="dxa" w:w="120"/>
            </w:tcMar>
          </w:tcPr>
          <w:p>
            <w:r>
              <w:rPr>
                <w:rFonts w:ascii="Times New Roman"/>
                <w:b/>
                <w:bCs/>
                <w:color w:val="FFFFFF"/>
                <w:sz w:val="21"/>
                <w:szCs w:val="21"/>
              </w:rPr>
              <w:t xml:space="preserve">Current Baseline</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Target (3 months)</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Measurement Method</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Landing page conversion rate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Unknown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5%+ visitors to demo booking</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Analytics tracking</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Time to first DDS generation</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N/A (not tracked)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Under 30 minutes for onboarding tenant</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Product analytics</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Buyer user activation</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0 (buyer role not implemented)</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50%+ of buyer users log in weekly</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Usage analytics</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EUDR compliance as sales entry point</w:t>
            </w:r>
          </w:p>
        </w:tc>
        <w:tc>
          <w:tcPr>
            <w:tcW w:type="pct" w:w="20%"/>
            <w:shd w:fill="FFFFFF" w:val="clear"/>
            <w:tcMar>
              <w:top w:type="dxa" w:w="60"/>
              <w:left w:type="dxa" w:w="120"/>
              <w:bottom w:type="dxa" w:w="60"/>
              <w:right w:type="dxa" w:w="120"/>
            </w:tcMar>
          </w:tcPr>
          <w:p>
            <w:r>
              <w:rPr>
                <w:rFonts w:ascii="Times New Roman"/>
                <w:color w:val="000000"/>
                <w:sz w:val="21"/>
                <w:szCs w:val="21"/>
              </w:rPr>
              <w:t xml:space="preserve">Not measured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80%+ of demos start with EUDR discussion</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Sales team reporting</w:t>
            </w:r>
          </w:p>
        </w:tc>
      </w:tr>
      <w:tr>
        <w:trPr>
          <w:cantSplit/>
        </w:trPr>
        <w:tc>
          <w:tcPr>
            <w:tcW w:type="pct" w:w="25%"/>
            <w:shd w:fill="F8F0EB" w:val="clear"/>
            <w:tcMar>
              <w:top w:type="dxa" w:w="60"/>
              <w:left w:type="dxa" w:w="120"/>
              <w:bottom w:type="dxa" w:w="60"/>
              <w:right w:type="dxa" w:w="120"/>
            </w:tcMar>
          </w:tcPr>
          <w:p>
            <w:r>
              <w:rPr>
                <w:rFonts w:ascii="Times New Roman"/>
                <w:color w:val="000000"/>
                <w:sz w:val="21"/>
                <w:szCs w:val="21"/>
              </w:rPr>
              <w:t xml:space="preserve">Module discovery rate</w:t>
            </w:r>
          </w:p>
        </w:tc>
        <w:tc>
          <w:tcPr>
            <w:tcW w:type="pct" w:w="20%"/>
            <w:shd w:fill="F8F0EB" w:val="clear"/>
            <w:tcMar>
              <w:top w:type="dxa" w:w="60"/>
              <w:left w:type="dxa" w:w="120"/>
              <w:bottom w:type="dxa" w:w="60"/>
              <w:right w:type="dxa" w:w="120"/>
            </w:tcMar>
          </w:tcPr>
          <w:p>
            <w:r>
              <w:rPr>
                <w:rFonts w:ascii="Times New Roman"/>
                <w:color w:val="000000"/>
                <w:sz w:val="21"/>
                <w:szCs w:val="21"/>
              </w:rPr>
              <w:t xml:space="preserve">Unknown</w:t>
            </w:r>
          </w:p>
        </w:tc>
        <w:tc>
          <w:tcPr>
            <w:tcW w:type="pct" w:w="25%"/>
            <w:shd w:fill="F8F0EB" w:val="clear"/>
            <w:tcMar>
              <w:top w:type="dxa" w:w="60"/>
              <w:left w:type="dxa" w:w="120"/>
              <w:bottom w:type="dxa" w:w="60"/>
              <w:right w:type="dxa" w:w="120"/>
            </w:tcMar>
          </w:tcPr>
          <w:p>
            <w:r>
              <w:rPr>
                <w:rFonts w:ascii="Times New Roman"/>
                <w:color w:val="000000"/>
                <w:sz w:val="21"/>
                <w:szCs w:val="21"/>
              </w:rPr>
              <w:t xml:space="preserve">Users explore 3+ buckets within first week</w:t>
            </w:r>
          </w:p>
        </w:tc>
        <w:tc>
          <w:tcPr>
            <w:tcW w:type="pct" w:w="30%"/>
            <w:shd w:fill="F8F0EB" w:val="clear"/>
            <w:tcMar>
              <w:top w:type="dxa" w:w="60"/>
              <w:left w:type="dxa" w:w="120"/>
              <w:bottom w:type="dxa" w:w="60"/>
              <w:right w:type="dxa" w:w="120"/>
            </w:tcMar>
          </w:tcPr>
          <w:p>
            <w:r>
              <w:rPr>
                <w:rFonts w:ascii="Times New Roman"/>
                <w:color w:val="000000"/>
                <w:sz w:val="21"/>
                <w:szCs w:val="21"/>
              </w:rPr>
              <w:t xml:space="preserve">Navigation analytics</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Terra Brew Strategic Repositioning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1A2330"/>
      <w:sz w:val="32"/>
      <w:szCs w:val="32"/>
    </w:rPr>
  </w:style>
  <w:style w:type="paragraph" w:styleId="Heading2">
    <w:name w:val="Heading 2"/>
    <w:basedOn w:val="Normal"/>
    <w:next w:val="Normal"/>
    <w:qFormat/>
    <w:pPr>
      <w:spacing w:after="120" w:before="280" w:line="312"/>
      <w:outlineLvl w:val="1"/>
    </w:pPr>
    <w:rPr>
      <w:rFonts w:ascii="Times New Roman"/>
      <w:b/>
      <w:bCs/>
      <w:color w:val="1A2330"/>
      <w:sz w:val="28"/>
      <w:szCs w:val="28"/>
    </w:rPr>
  </w:style>
  <w:style w:type="paragraph" w:styleId="Heading3">
    <w:name w:val="Heading 3"/>
    <w:basedOn w:val="Normal"/>
    <w:next w:val="Normal"/>
    <w:qFormat/>
    <w:pPr>
      <w:spacing w:after="100" w:before="200" w:line="312"/>
      <w:outlineLvl w:val="2"/>
    </w:pPr>
    <w:rPr>
      <w:rFonts w:ascii="Times New Roman"/>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2026-05-04T14:17:12.042Z</dcterms:created>
  <dcterms:modified xsi:type="dcterms:W3CDTF">2026-05-04T14:17:12.042Z</dcterms:modified>
</cp:coreProperties>
</file>

<file path=docProps/custom.xml><?xml version="1.0" encoding="utf-8"?>
<Properties xmlns="http://schemas.openxmlformats.org/officeDocument/2006/custom-properties" xmlns:vt="http://schemas.openxmlformats.org/officeDocument/2006/docPropsVTypes"/>
</file>