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val="clear"/>
          </w:tcPr>
          <w:p>
            <w:pPr>
              <w:spacing w:before="3712"/>
            </w:pPr>
          </w:p>
          <w:p>
            <w:pPr>
              <w:pBdr>
                <w:bottom w:val="single" w:sz="6" w:space="8"/>
              </w:pBdr>
              <w:spacing w:after="500"/>
              <w:ind w:left="1200" w:right="800"/>
            </w:pPr>
            <w:r>
              <w:rPr>
                <w:rFonts w:ascii="Calibri" w:eastAsia="SimHei"/>
                <w:spacing w:val="40"/>
                <w:sz w:val="18"/>
                <w:szCs w:val="18"/>
              </w:rPr>
              <w:t xml:space="preserve">O  P  E  R  A  T  I  N  G     R  U  L  E  S</w:t>
            </w:r>
          </w:p>
          <w:p>
            <w:pPr>
              <w:spacing w:after="100" w:line="828" w:lineRule="atLeast"/>
              <w:ind w:left="1200"/>
            </w:pPr>
            <w:r>
              <w:rPr>
                <w:rFonts w:ascii="Arial" w:eastAsia="SimHei"/>
                <w:b/>
                <w:bCs/>
                <w:color w:val="FFFFFF"/>
                <w:sz w:val="72"/>
                <w:szCs w:val="72"/>
              </w:rPr>
              <w:t xml:space="preserve">Aceli LAT AI</w:t>
            </w:r>
          </w:p>
          <w:p>
            <w:pPr>
              <w:spacing w:after="100" w:line="828" w:lineRule="atLeast"/>
              <w:ind w:left="1200"/>
            </w:pPr>
            <w:r>
              <w:rPr>
                <w:rFonts w:ascii="Arial" w:eastAsia="SimHei"/>
                <w:b/>
                <w:bCs/>
                <w:color w:val="FFFFFF"/>
                <w:sz w:val="72"/>
                <w:szCs w:val="72"/>
              </w:rPr>
              <w:t xml:space="preserve">Agent Operating</w:t>
            </w:r>
          </w:p>
          <w:p>
            <w:pPr>
              <w:spacing w:after="300" w:line="828" w:lineRule="atLeast"/>
              <w:ind w:left="1200"/>
            </w:pPr>
            <w:r>
              <w:rPr>
                <w:rFonts w:ascii="Arial" w:eastAsia="SimHei"/>
                <w:b/>
                <w:bCs/>
                <w:color w:val="FFFFFF"/>
                <w:sz w:val="72"/>
                <w:szCs w:val="72"/>
              </w:rPr>
              <w:t xml:space="preserve">Rules</w:t>
            </w:r>
          </w:p>
          <w:p>
            <w:pPr>
              <w:spacing w:after="800"/>
              <w:ind w:left="1200"/>
            </w:pPr>
            <w:r>
              <w:rPr>
                <w:rFonts w:ascii="Arial" w:eastAsia="Microsoft YaHei"/>
                <w:color w:val="B0B8C0"/>
                <w:sz w:val="24"/>
                <w:szCs w:val="24"/>
              </w:rPr>
              <w:t xml:space="preserve">Mandatory Rules, Confidence Thresholds, and Agent Roles</w:t>
            </w:r>
          </w:p>
          <w:p>
            <w:pPr>
              <w:pBdr>
                <w:left w:val="single" w:sz="8" w:space="12"/>
              </w:pBdr>
              <w:spacing w:after="80"/>
              <w:ind w:left="1400"/>
            </w:pPr>
            <w:r>
              <w:rPr>
                <w:rFonts w:ascii="Arial" w:eastAsia="Microsoft YaHei"/>
                <w:color w:val="90989F"/>
                <w:sz w:val="24"/>
                <w:szCs w:val="24"/>
              </w:rPr>
              <w:t xml:space="preserve">Project: Aceli Africa LAT Platform</w:t>
            </w:r>
          </w:p>
          <w:p>
            <w:pPr>
              <w:pBdr>
                <w:left w:val="single" w:sz="8" w:space="12"/>
              </w:pBdr>
              <w:spacing w:after="80"/>
              <w:ind w:left="1400"/>
            </w:pPr>
            <w:r>
              <w:rPr>
                <w:rFonts w:ascii="Arial" w:eastAsia="Microsoft YaHei"/>
                <w:color w:val="90989F"/>
                <w:sz w:val="24"/>
                <w:szCs w:val="24"/>
              </w:rPr>
              <w:t xml:space="preserve">Version: 1.0</w:t>
            </w:r>
          </w:p>
          <w:p>
            <w:pPr>
              <w:pBdr>
                <w:left w:val="single" w:sz="8" w:space="12"/>
              </w:pBdr>
              <w:spacing w:after="80"/>
              <w:ind w:left="1400"/>
            </w:pPr>
            <w:r>
              <w:rPr>
                <w:rFonts w:ascii="Arial" w:eastAsia="Microsoft YaHei"/>
                <w:color w:val="90989F"/>
                <w:sz w:val="24"/>
                <w:szCs w:val="24"/>
              </w:rPr>
              <w:t xml:space="preserve">Date: 2026-06-12</w:t>
            </w:r>
          </w:p>
          <w:p>
            <w:pPr>
              <w:pBdr>
                <w:left w:val="single" w:sz="8" w:space="12"/>
              </w:pBdr>
              <w:spacing w:after="80"/>
              <w:ind w:left="1400"/>
            </w:pPr>
            <w:r>
              <w:rPr>
                <w:rFonts w:ascii="Arial" w:eastAsia="Microsoft YaHei"/>
                <w:color w:val="90989F"/>
                <w:sz w:val="24"/>
                <w:szCs w:val="24"/>
              </w:rPr>
              <w:t xml:space="preserve">Classification: Confidential</w:t>
            </w:r>
          </w:p>
          <w:p>
            <w:pPr>
              <w:spacing w:before="3712"/>
            </w:pPr>
          </w:p>
          <w:p>
            <w:pPr>
              <w:pBdr>
                <w:top w:val="single" w:sz="2" w:space="8"/>
              </w:pBdr>
              <w:spacing w:before="200"/>
              <w:ind w:left="1200" w:right="800"/>
            </w:pPr>
            <w:r>
              <w:rPr>
                <w:rFonts w:ascii="Arial"/>
                <w:color w:val="687078"/>
                <w:sz w:val="16"/>
                <w:szCs w:val="16"/>
              </w:rPr>
              <w:t xml:space="preserve">Aceli Africa</w:t>
            </w:r>
            <w:r>
              <w:t xml:space="preserve">                                        </w:t>
            </w:r>
            <w:r>
              <w:rPr>
                <w:rFonts w:ascii="Arial"/>
                <w:color w:val="687078"/>
                <w:sz w:val="16"/>
                <w:szCs w:val="16"/>
              </w:rPr>
              <w:t xml:space="preserve">Sprint 0 Deliverable</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Operating Rules Purpose</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The 15 Mandatory Agent Rules</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3. Confidence and Escalation Thresholds</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Agent Role Definitions</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5. Inter-Agent Communication Protocol</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6. Violation Handling</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6.1 Minor Violations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6.2 Major Violations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6.3 Critical Violations</w:t>
            </w:r>
            <w:r>
              <w:tab/>
            </w:r>
            <w:r>
              <w:fldChar w:fldCharType="begin"/>
            </w:r>
            <w:r>
              <w:instrText xml:space="preserve"> PAGEREF _Toc100008 \h </w:instrText>
            </w:r>
            <w:r>
              <w:fldChar w:fldCharType="separate"/>
            </w:r>
            <w:r>
              <w:t>4</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20" w:before="360" w:line="312"/>
      </w:pPr>
      <w:bookmarkStart w:id="100000" w:name="_Toc100000"/>
      <w:r>
        <w:rPr>
          <w:rFonts w:ascii="Times New Roman" w:eastAsia="SimHei"/>
          <w:b/>
          <w:bCs/>
          <w:color w:val="182030"/>
        </w:rPr>
        <w:t xml:space="preserve">1. Operating Rules Purpose</w:t>
      </w:r>
      <w:bookmarkEnd w:id="100000"/>
    </w:p>
    <w:p>
      <w:pPr>
        <w:spacing w:after="80" w:line="312"/>
        <w:ind w:firstLine="480"/>
        <w:jc w:val="both"/>
      </w:pPr>
      <w:r>
        <w:rPr>
          <w:rFonts w:ascii="Times New Roman" w:eastAsia="SimSun"/>
          <w:color w:val="182030"/>
          <w:sz w:val="24"/>
          <w:szCs w:val="24"/>
        </w:rPr>
        <w:t xml:space="preserve">This document defines the mandatory operating rules for all AI agents participating in the Aceli LAT production build. These rules are non-negotiable and derive directly from the RFP constraints, the governance model, and the delivery charter. Every AI agent must acknowledge and comply with these rules before executing any task. Violation of any rule triggers immediate escalation and remediation.</w:t>
      </w:r>
    </w:p>
    <w:p>
      <w:pPr>
        <w:pStyle w:val="Heading1"/>
        <w:spacing w:after="120" w:before="360" w:line="312"/>
      </w:pPr>
      <w:bookmarkStart w:id="100001" w:name="_Toc100001"/>
      <w:r>
        <w:rPr>
          <w:rFonts w:ascii="Times New Roman" w:eastAsia="SimHei"/>
          <w:b/>
          <w:bCs/>
          <w:color w:val="182030"/>
        </w:rPr>
        <w:t xml:space="preserve">2. The 15 Mandatory Agent Rules</w:t>
      </w:r>
      <w:bookmarkEnd w:id="100001"/>
    </w:p>
    <w:p>
      <w:pPr>
        <w:spacing w:after="80" w:line="312"/>
        <w:ind w:firstLine="480"/>
        <w:jc w:val="both"/>
      </w:pPr>
      <w:r>
        <w:rPr>
          <w:rFonts w:ascii="Times New Roman" w:eastAsia="SimSun"/>
          <w:color w:val="182030"/>
          <w:sz w:val="24"/>
          <w:szCs w:val="24"/>
        </w:rPr>
        <w:t xml:space="preserve">Each rule is documented with its rule number, rule name, rule statement, rationale, and violation consequences. The following table presents all fifteen mandatory rules that govern AI agent behavior throughout the Aceli LAT production build.</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gridCol w:w="100"/>
        <w:gridCol w:w="100"/>
        <w:gridCol w:w="100"/>
      </w:tblGrid>
      <w:tr>
        <w:trPr>
          <w:tblHeader/>
        </w:trPr>
        <w:tc>
          <w:tcPr>
            <w:tcW w:type="pct" w:w="8%"/>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Rule #</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Rule Name</w:t>
            </w:r>
          </w:p>
        </w:tc>
        <w:tc>
          <w:tcPr>
            <w:tcW w:type="pct" w:w="4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Rule Statement</w:t>
            </w:r>
          </w:p>
        </w:tc>
        <w:tc>
          <w:tcPr>
            <w:tcW w:type="pct" w:w="22%"/>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Rationale</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Violation Consequence</w:t>
            </w:r>
          </w:p>
        </w:tc>
      </w:tr>
      <w:tr>
        <w:trPr>
          <w:cantSplit/>
        </w:trPr>
        <w:tc>
          <w:tcPr>
            <w:tcW w:type="pct" w:w="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1</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Documentation-first</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 feature build starts without linked requirement IDs. Every code task must reference SRS/FRS/user story/API contract/test case IDs before implementation begins.</w:t>
            </w:r>
          </w:p>
        </w:tc>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Ensures all work is traceable to validated requirements, preventing scope creep and unverified functionality.</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Task blocked until requirement linkage is established.</w:t>
            </w:r>
          </w:p>
        </w:tc>
      </w:tr>
      <w:tr>
        <w:trPr>
          <w:cantSplit/>
        </w:trPr>
        <w:tc>
          <w:tcPr>
            <w:tcW w:type="pct" w:w="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2</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Traceability</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Every code task maps to SRS/FRS/user story/API contract/test case IDs. The RTM must be updated for every new task, and traceability must be verifiable at every sprint review.</w:t>
            </w:r>
          </w:p>
        </w:tc>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Maintains a verifiable chain from requirement to implementation, enabling audit readiness and impact analysis.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increment not accepted.</w:t>
            </w:r>
          </w:p>
        </w:tc>
      </w:tr>
      <w:tr>
        <w:trPr>
          <w:cantSplit/>
        </w:trPr>
        <w:tc>
          <w:tcPr>
            <w:tcW w:type="pct" w:w="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3</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Approval-gate</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Any Salesforce write-back logic requires architect + QA + compliance approval before implementation. This applies to all code that creates, updates, or deletes data in Salesforce.</w:t>
            </w:r>
          </w:p>
        </w:tc>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Salesforce is the system of record; unauthorized write-backs risk data integrity and compliance violations.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Code reverted and approval obtained.</w:t>
            </w:r>
          </w:p>
        </w:tc>
      </w:tr>
      <w:tr>
        <w:trPr>
          <w:cantSplit/>
        </w:trPr>
        <w:tc>
          <w:tcPr>
            <w:tcW w:type="pct" w:w="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4</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 hallucination</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If a platform detail is unknown, create an assumption record; do not invent. Assumptions are logged, reviewed, and either validated or resolved before the dependent work proceeds.</w:t>
            </w:r>
          </w:p>
        </w:tc>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Prevents AI agents from fabricating technical details that could lead to incorrect implementations.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Affected work paused, assumption record created.</w:t>
            </w:r>
          </w:p>
        </w:tc>
      </w:tr>
      <w:tr>
        <w:trPr>
          <w:cantSplit/>
        </w:trPr>
        <w:tc>
          <w:tcPr>
            <w:tcW w:type="pct" w:w="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5</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Human review</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All AI-generated lender updates must stop at reviewer state before commit. No auto-commit, no bypass, no silent write-back.</w:t>
            </w:r>
          </w:p>
        </w:tc>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Ensures human oversight of all AI-produced changes to lender data, maintaining accountability and data quality.</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Immediate rollback, incident created.</w:t>
            </w:r>
          </w:p>
        </w:tc>
      </w:tr>
      <w:tr>
        <w:trPr>
          <w:cantSplit/>
        </w:trPr>
        <w:tc>
          <w:tcPr>
            <w:tcW w:type="pct" w:w="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6</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 training</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 protected data enters training or fine-tuning workflows. This includes lender-level, borrower-level, and any personally identifiable data.</w:t>
            </w:r>
          </w:p>
        </w:tc>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Compliance with data protection regulations and contractual obligations regarding protected information.</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Immediate data quarantine, security incident.</w:t>
            </w:r>
          </w:p>
        </w:tc>
      </w:tr>
      <w:tr>
        <w:trPr>
          <w:cantSplit/>
        </w:trPr>
        <w:tc>
          <w:tcPr>
            <w:tcW w:type="pct" w:w="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7</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Security-first</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Secrets, tokens, credentials, and tenant settings must never be hardcoded. All sensitive configuration must be managed through approved secrets management.</w:t>
            </w:r>
          </w:p>
        </w:tc>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Prevents credential exposure in source code and ensures proper access control management.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Immediate remediation, security scan.</w:t>
            </w:r>
          </w:p>
        </w:tc>
      </w:tr>
      <w:tr>
        <w:trPr>
          <w:cantSplit/>
        </w:trPr>
        <w:tc>
          <w:tcPr>
            <w:tcW w:type="pct" w:w="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8</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Migration discipline</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 production data migration without dry run, reconciliation report, and rollback plan. Migration scripts must be tested, validated, and approved before execution.</w:t>
            </w:r>
          </w:p>
        </w:tc>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Data migration errors can cause irreversible data loss or corruption; disciplined process prevents catastrophic failures.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Migration blocked until requirements met.</w:t>
            </w:r>
          </w:p>
        </w:tc>
      </w:tr>
      <w:tr>
        <w:trPr>
          <w:cantSplit/>
        </w:trPr>
        <w:tc>
          <w:tcPr>
            <w:tcW w:type="pct" w:w="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9</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Testing</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 story is complete without automated tests or explicit approved test evidence. Manual-only testing requires QA agent and Delivery Orchestrator approval.</w:t>
            </w:r>
          </w:p>
        </w:tc>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Ensures verifiable quality and regression protection for all delivered functionality.</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Story not marked complete.</w:t>
            </w:r>
          </w:p>
        </w:tc>
      </w:tr>
      <w:tr>
        <w:trPr>
          <w:cantSplit/>
        </w:trPr>
        <w:tc>
          <w:tcPr>
            <w:tcW w:type="pct" w:w="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10</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Audit</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All meaningful user and AI actions must generate structured logs. Logs must be immutable, exportable, and include correlation IDs, timestamps, actor identity, and action details.</w:t>
            </w:r>
          </w:p>
        </w:tc>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Enables audit readiness, incident investigation, and compliance demonstration.</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Affected component fails audit coverage gate.</w:t>
            </w:r>
          </w:p>
        </w:tc>
      </w:tr>
      <w:tr>
        <w:trPr>
          <w:cantSplit/>
        </w:trPr>
        <w:tc>
          <w:tcPr>
            <w:tcW w:type="pct" w:w="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11</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Offline-first</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Field features must degrade gracefully under weak or zero connectivity. Draft persistence, sync queuing, and conflict resolution must be implemented for all field-facing features.</w:t>
            </w:r>
          </w:p>
        </w:tc>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Field users operate in low-connectivity environments; features must remain functional without network access.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Feature fails offline/sync test gate.</w:t>
            </w:r>
          </w:p>
        </w:tc>
      </w:tr>
      <w:tr>
        <w:trPr>
          <w:cantSplit/>
        </w:trPr>
        <w:tc>
          <w:tcPr>
            <w:tcW w:type="pct" w:w="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12</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Definition-of-done</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Code, tests, docs, security checks, and release notes are all required for every increment. No partial completions.</w:t>
            </w:r>
          </w:p>
        </w:tc>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Ensures every increment is production-ready with complete documentation and verification.</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increment not released.</w:t>
            </w:r>
          </w:p>
        </w:tc>
      </w:tr>
      <w:tr>
        <w:trPr>
          <w:cantSplit/>
        </w:trPr>
        <w:tc>
          <w:tcPr>
            <w:tcW w:type="pct" w:w="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13</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Post-coder validation</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All generated code must run through linting, static analysis, unit/integration checks, and architectural policy validation. No code reaches non-dev environments without passing these checks.</w:t>
            </w:r>
          </w:p>
        </w:tc>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Automated quality gates catch defects and policy violations before code progresses through environments.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Code blocked at CI pipeline.</w:t>
            </w:r>
          </w:p>
        </w:tc>
      </w:tr>
      <w:tr>
        <w:trPr>
          <w:cantSplit/>
        </w:trPr>
        <w:tc>
          <w:tcPr>
            <w:tcW w:type="pct" w:w="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14</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 repetition</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Agents must reuse approved modules, templates, and patterns; avoid duplicate implementations. If an existing module serves the purpose, extend it rather than creating a new one.</w:t>
            </w:r>
          </w:p>
        </w:tc>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Reduces maintenance burden, ensures consistency, and prevents divergence across the codebase.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Duplicate code flagged for consolidation.</w:t>
            </w:r>
          </w:p>
        </w:tc>
      </w:tr>
      <w:tr>
        <w:trPr>
          <w:cantSplit/>
        </w:trPr>
        <w:tc>
          <w:tcPr>
            <w:tcW w:type="pct" w:w="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15</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Release governance</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 production release without signed release checklist and rollback plan. Every release must have documented rollback steps, approver sign-off, and deployment evidence.</w:t>
            </w:r>
          </w:p>
        </w:tc>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Ensures controlled, auditable releases with the ability to recover from failures.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Release blocked.</w:t>
            </w:r>
          </w:p>
        </w:tc>
      </w:tr>
    </w:tbl>
    <w:p>
      <w:pPr>
        <w:pStyle w:val="Heading1"/>
        <w:spacing w:after="120" w:before="360" w:line="312"/>
      </w:pPr>
      <w:bookmarkStart w:id="100002" w:name="_Toc100002"/>
      <w:r>
        <w:rPr>
          <w:rFonts w:ascii="Times New Roman" w:eastAsia="SimHei"/>
          <w:b/>
          <w:bCs/>
          <w:color w:val="182030"/>
        </w:rPr>
        <w:t xml:space="preserve">3. Confidence and Escalation Thresholds</w:t>
      </w:r>
      <w:bookmarkEnd w:id="100002"/>
    </w:p>
    <w:p>
      <w:pPr>
        <w:spacing w:after="80" w:line="312"/>
        <w:ind w:firstLine="480"/>
        <w:jc w:val="both"/>
      </w:pPr>
      <w:r>
        <w:rPr>
          <w:rFonts w:ascii="Times New Roman" w:eastAsia="SimSun"/>
          <w:color w:val="182030"/>
          <w:sz w:val="24"/>
          <w:szCs w:val="24"/>
        </w:rPr>
        <w:t xml:space="preserve">Agent confidence levels govern autonomous action: Confidence above 0.90 allows autonomous execution within approved scope; the agent may proceed and report results. Confidence 0.70 to 0.89 allows autonomous draft with mandatory peer-agent review; the agent produces work product but must obtain peer review before finalization. Confidence below 0.70 requires the agent to stop and escalate to human-in-the-loop or lead architect review; no autonomous work product is produced. Security, data governance, and production data tasks always require human review regardless of confidence level.</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gridCol w:w="100"/>
      </w:tblGrid>
      <w:tr>
        <w:trPr>
          <w:tblHeader/>
        </w:trPr>
        <w:tc>
          <w:tcPr>
            <w:tcW w:type="pct" w:w="2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Confidence Range</w:t>
            </w:r>
          </w:p>
        </w:tc>
        <w:tc>
          <w:tcPr>
            <w:tcW w:type="pct" w:w="4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Action</w:t>
            </w:r>
          </w:p>
        </w:tc>
        <w:tc>
          <w:tcPr>
            <w:tcW w:type="pct" w:w="4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Conditions</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&gt; 0.90</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Autonomous execution within approved scope</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Agent may proceed and report results</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0.70 – 0.89</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Autonomous draft with mandatory peer-agent review</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Agent produces work product but must obtain peer review before finalization</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&lt; 0.70</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Stop and escalate to human-in-the-loop or lead architect</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 autonomous work product is produced</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Any level</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Human review required</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Security, data governance, and production data tasks always require human review regardless of confidence level</w:t>
            </w:r>
          </w:p>
        </w:tc>
      </w:tr>
    </w:tbl>
    <w:p>
      <w:pPr>
        <w:pStyle w:val="Heading1"/>
        <w:spacing w:after="120" w:before="360" w:line="312"/>
      </w:pPr>
      <w:bookmarkStart w:id="100003" w:name="_Toc100003"/>
      <w:r>
        <w:rPr>
          <w:rFonts w:ascii="Times New Roman" w:eastAsia="SimHei"/>
          <w:b/>
          <w:bCs/>
          <w:color w:val="182030"/>
        </w:rPr>
        <w:t xml:space="preserve">4. Agent Role Definitions</w:t>
      </w:r>
      <w:bookmarkEnd w:id="100003"/>
    </w:p>
    <w:p>
      <w:pPr>
        <w:spacing w:after="80" w:line="312"/>
        <w:ind w:firstLine="480"/>
        <w:jc w:val="both"/>
      </w:pPr>
      <w:r>
        <w:rPr>
          <w:rFonts w:ascii="Times New Roman" w:eastAsia="SimSun"/>
          <w:color w:val="182030"/>
          <w:sz w:val="24"/>
          <w:szCs w:val="24"/>
        </w:rPr>
        <w:t xml:space="preserve">The following table defines each agent role, its primary responsibility, approval authority, and escalation trigger. Every agent operating within the Aceli LAT production build must be assigned to one of these defined roles and must operate within the boundaries specified herein.</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gridCol w:w="100"/>
        <w:gridCol w:w="100"/>
      </w:tblGrid>
      <w:tr>
        <w:trPr>
          <w:tblHeader/>
        </w:trPr>
        <w:tc>
          <w:tcPr>
            <w:tcW w:type="pct" w:w="22%"/>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Agent Role</w:t>
            </w:r>
          </w:p>
        </w:tc>
        <w:tc>
          <w:tcPr>
            <w:tcW w:type="pct" w:w="28%"/>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Primary Responsibility</w:t>
            </w:r>
          </w:p>
        </w:tc>
        <w:tc>
          <w:tcPr>
            <w:tcW w:type="pct" w:w="2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Approval Authority</w:t>
            </w:r>
          </w:p>
        </w:tc>
        <w:tc>
          <w:tcPr>
            <w:tcW w:type="pct" w:w="2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Escalation Trigger</w:t>
            </w:r>
          </w:p>
        </w:tc>
      </w:tr>
      <w:tr>
        <w:trPr>
          <w:cantSplit/>
        </w:trPr>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Delivery Orchestrator</w:t>
            </w:r>
          </w:p>
        </w:tc>
        <w:tc>
          <w:tcPr>
            <w:tcW w:type="pct" w:w="2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Program coordination, governance enforcement</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Phase gate approval</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Scope or timeline risk</w:t>
            </w:r>
          </w:p>
        </w:tc>
      </w:tr>
      <w:tr>
        <w:trPr>
          <w:cantSplit/>
        </w:trPr>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Product Owner</w:t>
            </w:r>
          </w:p>
        </w:tc>
        <w:tc>
          <w:tcPr>
            <w:tcW w:type="pct" w:w="2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Requirements ownership, prioritization</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Requirement approval</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Scope change</w:t>
            </w:r>
          </w:p>
        </w:tc>
      </w:tr>
      <w:tr>
        <w:trPr>
          <w:cantSplit/>
        </w:trPr>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Business Analyst</w:t>
            </w:r>
          </w:p>
        </w:tc>
        <w:tc>
          <w:tcPr>
            <w:tcW w:type="pct" w:w="2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Current-state analysis, user stories</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User story acceptance</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Ambiguous requirements</w:t>
            </w:r>
          </w:p>
        </w:tc>
      </w:tr>
      <w:tr>
        <w:trPr>
          <w:cantSplit/>
        </w:trPr>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Solution Architect</w:t>
            </w:r>
          </w:p>
        </w:tc>
        <w:tc>
          <w:tcPr>
            <w:tcW w:type="pct" w:w="2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Architecture decisions, integration design</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Architecture approval</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Integration risk</w:t>
            </w:r>
          </w:p>
        </w:tc>
      </w:tr>
      <w:tr>
        <w:trPr>
          <w:cantSplit/>
        </w:trPr>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Salesforce Integration Agent</w:t>
            </w:r>
          </w:p>
        </w:tc>
        <w:tc>
          <w:tcPr>
            <w:tcW w:type="pct" w:w="2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Salesforce API, schema</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Salesforce change approval</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Schema conflict</w:t>
            </w:r>
          </w:p>
        </w:tc>
      </w:tr>
      <w:tr>
        <w:trPr>
          <w:cantSplit/>
        </w:trPr>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AI/ML Workflow Agent</w:t>
            </w:r>
          </w:p>
        </w:tc>
        <w:tc>
          <w:tcPr>
            <w:tcW w:type="pct" w:w="2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Transcription, extraction, prompts</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AI workflow approval</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Accuracy below threshold</w:t>
            </w:r>
          </w:p>
        </w:tc>
      </w:tr>
      <w:tr>
        <w:trPr>
          <w:cantSplit/>
        </w:trPr>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Frontend Engineering Agent</w:t>
            </w:r>
          </w:p>
        </w:tc>
        <w:tc>
          <w:tcPr>
            <w:tcW w:type="pct" w:w="2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Mobile-first web application</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UI/UX approval</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UX regression</w:t>
            </w:r>
          </w:p>
        </w:tc>
      </w:tr>
      <w:tr>
        <w:trPr>
          <w:cantSplit/>
        </w:trPr>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Backend/API Engineering Agent</w:t>
            </w:r>
          </w:p>
        </w:tc>
        <w:tc>
          <w:tcPr>
            <w:tcW w:type="pct" w:w="2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Service layer, APIs</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API contract approval</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Performance degradation</w:t>
            </w:r>
          </w:p>
        </w:tc>
      </w:tr>
      <w:tr>
        <w:trPr>
          <w:cantSplit/>
        </w:trPr>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Data Migration Agent</w:t>
            </w:r>
          </w:p>
        </w:tc>
        <w:tc>
          <w:tcPr>
            <w:tcW w:type="pct" w:w="2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Google Sheets migration</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Migration plan approval</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Data quality issue</w:t>
            </w:r>
          </w:p>
        </w:tc>
      </w:tr>
      <w:tr>
        <w:trPr>
          <w:cantSplit/>
        </w:trPr>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 Agent</w:t>
            </w:r>
          </w:p>
        </w:tc>
        <w:tc>
          <w:tcPr>
            <w:tcW w:type="pct" w:w="2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CI/CD, security, environments</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Environment change approval</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Security vulnerability</w:t>
            </w:r>
          </w:p>
        </w:tc>
      </w:tr>
      <w:tr>
        <w:trPr>
          <w:cantSplit/>
        </w:trPr>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QA Automation Agent</w:t>
            </w:r>
          </w:p>
        </w:tc>
        <w:tc>
          <w:tcPr>
            <w:tcW w:type="pct" w:w="2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Testing, quality gates</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Test evidence acceptance</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Test coverage gap</w:t>
            </w:r>
          </w:p>
        </w:tc>
      </w:tr>
      <w:tr>
        <w:trPr>
          <w:cantSplit/>
        </w:trPr>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Technical Writer Agent</w:t>
            </w:r>
          </w:p>
        </w:tc>
        <w:tc>
          <w:tcPr>
            <w:tcW w:type="pct" w:w="2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Documentation</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Documentation approval</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Documentation gap</w:t>
            </w:r>
          </w:p>
        </w:tc>
      </w:tr>
      <w:tr>
        <w:trPr>
          <w:cantSplit/>
        </w:trPr>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Release Manager Agent</w:t>
            </w:r>
          </w:p>
        </w:tc>
        <w:tc>
          <w:tcPr>
            <w:tcW w:type="pct" w:w="2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Release packaging, governance</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Release approval</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Release risk</w:t>
            </w:r>
          </w:p>
        </w:tc>
      </w:tr>
      <w:tr>
        <w:trPr>
          <w:cantSplit/>
        </w:trPr>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Change Management Agent</w:t>
            </w:r>
          </w:p>
        </w:tc>
        <w:tc>
          <w:tcPr>
            <w:tcW w:type="pct" w:w="2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Training, adoption</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Training material approval</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Adoption risk</w:t>
            </w:r>
          </w:p>
        </w:tc>
      </w:tr>
      <w:tr>
        <w:trPr>
          <w:cantSplit/>
        </w:trPr>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Red Team/Compliance Agent</w:t>
            </w:r>
          </w:p>
        </w:tc>
        <w:tc>
          <w:tcPr>
            <w:tcW w:type="pct" w:w="2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Security review, compliance</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Compliance sign-off</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Compliance violation</w:t>
            </w:r>
          </w:p>
        </w:tc>
      </w:tr>
    </w:tbl>
    <w:p>
      <w:pPr>
        <w:pStyle w:val="Heading1"/>
        <w:spacing w:after="120" w:before="360" w:line="312"/>
      </w:pPr>
      <w:bookmarkStart w:id="100004" w:name="_Toc100004"/>
      <w:r>
        <w:rPr>
          <w:rFonts w:ascii="Times New Roman" w:eastAsia="SimHei"/>
          <w:b/>
          <w:bCs/>
          <w:color w:val="182030"/>
        </w:rPr>
        <w:t xml:space="preserve">5. Inter-Agent Communication Protocol</w:t>
      </w:r>
      <w:bookmarkEnd w:id="100004"/>
    </w:p>
    <w:p>
      <w:pPr>
        <w:spacing w:after="80" w:line="312"/>
        <w:ind w:firstLine="480"/>
        <w:jc w:val="both"/>
      </w:pPr>
      <w:r>
        <w:rPr>
          <w:rFonts w:ascii="Times New Roman" w:eastAsia="SimSun"/>
          <w:color w:val="182030"/>
          <w:sz w:val="24"/>
          <w:szCs w:val="24"/>
        </w:rPr>
        <w:t xml:space="preserve">Agents communicate through structured channels designed to ensure transparency, accountability, and coordination across the production build. The following communication mechanisms are mandatory for all agent interactions:</w:t>
      </w:r>
    </w:p>
    <w:p>
      <w:pPr>
        <w:pStyle w:val="ListParagraph"/>
        <w:numPr>
          <w:ilvl w:val="0"/>
          <w:numId w:val="1"/>
        </w:numPr>
        <w:spacing w:after="40" w:line="312"/>
      </w:pPr>
      <w:r>
        <w:rPr>
          <w:rFonts w:ascii="Times New Roman" w:eastAsia="SimSun"/>
          <w:color w:val="182030"/>
          <w:sz w:val="24"/>
          <w:szCs w:val="24"/>
        </w:rPr>
        <w:t xml:space="preserve">Daily automated sync: status, blockers, dependencies, and quality metrics published to shared dashboard</w:t>
      </w:r>
    </w:p>
    <w:p>
      <w:pPr>
        <w:pStyle w:val="ListParagraph"/>
        <w:numPr>
          <w:ilvl w:val="0"/>
          <w:numId w:val="1"/>
        </w:numPr>
        <w:spacing w:after="40" w:line="312"/>
      </w:pPr>
      <w:r>
        <w:rPr>
          <w:rFonts w:ascii="Times New Roman" w:eastAsia="SimSun"/>
          <w:color w:val="182030"/>
          <w:sz w:val="24"/>
          <w:szCs w:val="24"/>
        </w:rPr>
        <w:t xml:space="preserve">Sprint backlog: tasks assigned with requirement IDs, acceptance criteria, and definition of done</w:t>
      </w:r>
    </w:p>
    <w:p>
      <w:pPr>
        <w:pStyle w:val="ListParagraph"/>
        <w:numPr>
          <w:ilvl w:val="0"/>
          <w:numId w:val="1"/>
        </w:numPr>
        <w:spacing w:after="40" w:line="312"/>
      </w:pPr>
      <w:r>
        <w:rPr>
          <w:rFonts w:ascii="Times New Roman" w:eastAsia="SimSun"/>
          <w:color w:val="182030"/>
          <w:sz w:val="24"/>
          <w:szCs w:val="24"/>
        </w:rPr>
        <w:t xml:space="preserve">Peer review requests: formal request for review with context, deadline, and expected feedback type</w:t>
      </w:r>
    </w:p>
    <w:p>
      <w:pPr>
        <w:pStyle w:val="ListParagraph"/>
        <w:numPr>
          <w:ilvl w:val="0"/>
          <w:numId w:val="1"/>
        </w:numPr>
        <w:spacing w:after="40" w:line="312"/>
      </w:pPr>
      <w:r>
        <w:rPr>
          <w:rFonts w:ascii="Times New Roman" w:eastAsia="SimSun"/>
          <w:color w:val="182030"/>
          <w:sz w:val="24"/>
          <w:szCs w:val="24"/>
        </w:rPr>
        <w:t xml:space="preserve">Escalation: structured escalation with confidence level, impact assessment, and recommended action</w:t>
      </w:r>
    </w:p>
    <w:p>
      <w:pPr>
        <w:pStyle w:val="ListParagraph"/>
        <w:numPr>
          <w:ilvl w:val="0"/>
          <w:numId w:val="1"/>
        </w:numPr>
        <w:spacing w:after="40" w:line="312"/>
      </w:pPr>
      <w:r>
        <w:rPr>
          <w:rFonts w:ascii="Times New Roman" w:eastAsia="SimSun"/>
          <w:color w:val="182030"/>
          <w:sz w:val="24"/>
          <w:szCs w:val="24"/>
        </w:rPr>
        <w:t xml:space="preserve">Release coordination: release checklist, deployment evidence, and rollback plan shared across affected agents</w:t>
      </w:r>
    </w:p>
    <w:p>
      <w:pPr>
        <w:spacing w:after="80" w:line="312"/>
        <w:ind w:firstLine="480"/>
        <w:jc w:val="both"/>
      </w:pPr>
      <w:r>
        <w:rPr>
          <w:rFonts w:ascii="Times New Roman" w:eastAsia="SimSun"/>
          <w:color w:val="182030"/>
          <w:sz w:val="24"/>
          <w:szCs w:val="24"/>
        </w:rPr>
        <w:t xml:space="preserve">All communication must be structured, traceable, and accessible to the Delivery Orchestrator and governance bodies. Informal or unlogged communication does not constitute an approved coordination mechanism.</w:t>
      </w:r>
    </w:p>
    <w:p>
      <w:pPr>
        <w:pStyle w:val="Heading1"/>
        <w:spacing w:after="120" w:before="360" w:line="312"/>
      </w:pPr>
      <w:bookmarkStart w:id="100005" w:name="_Toc100005"/>
      <w:r>
        <w:rPr>
          <w:rFonts w:ascii="Times New Roman" w:eastAsia="SimHei"/>
          <w:b/>
          <w:bCs/>
          <w:color w:val="182030"/>
        </w:rPr>
        <w:t xml:space="preserve">6. Violation Handling</w:t>
      </w:r>
      <w:bookmarkEnd w:id="100005"/>
    </w:p>
    <w:p>
      <w:pPr>
        <w:spacing w:after="80" w:line="312"/>
        <w:ind w:firstLine="480"/>
        <w:jc w:val="both"/>
      </w:pPr>
      <w:r>
        <w:rPr>
          <w:rFonts w:ascii="Times New Roman" w:eastAsia="SimSun"/>
          <w:color w:val="182030"/>
          <w:sz w:val="24"/>
          <w:szCs w:val="24"/>
        </w:rPr>
        <w:t xml:space="preserve">Rule violations are classified into three severity levels, each with defined response protocols:</w:t>
      </w:r>
    </w:p>
    <w:p>
      <w:pPr>
        <w:pStyle w:val="Heading2"/>
        <w:spacing w:after="120" w:before="240" w:line="312"/>
      </w:pPr>
      <w:bookmarkStart w:id="100006" w:name="_Toc100006"/>
      <w:r>
        <w:rPr>
          <w:rFonts w:ascii="Times New Roman" w:eastAsia="SimHei"/>
          <w:b/>
          <w:bCs/>
          <w:color w:val="182030"/>
        </w:rPr>
        <w:t xml:space="preserve">6.1 Minor Violations</w:t>
      </w:r>
      <w:bookmarkEnd w:id="100006"/>
    </w:p>
    <w:p>
      <w:pPr>
        <w:spacing w:after="80" w:line="312"/>
        <w:ind w:firstLine="480"/>
        <w:jc w:val="both"/>
      </w:pPr>
      <w:r>
        <w:rPr>
          <w:rFonts w:ascii="Times New Roman" w:eastAsia="SimSun"/>
          <w:color w:val="182030"/>
          <w:sz w:val="24"/>
          <w:szCs w:val="24"/>
        </w:rPr>
        <w:t xml:space="preserve">Minor violations do not affect data integrity, security, or audit readiness. They are logged and remediated within the sprint in which they are identified. The responsible agent must document the violation, its root cause, and the corrective action taken.</w:t>
      </w:r>
    </w:p>
    <w:p>
      <w:pPr>
        <w:pStyle w:val="Heading2"/>
        <w:spacing w:after="120" w:before="240" w:line="312"/>
      </w:pPr>
      <w:bookmarkStart w:id="100007" w:name="_Toc100007"/>
      <w:r>
        <w:rPr>
          <w:rFonts w:ascii="Times New Roman" w:eastAsia="SimHei"/>
          <w:b/>
          <w:bCs/>
          <w:color w:val="182030"/>
        </w:rPr>
        <w:t xml:space="preserve">6.2 Major Violations</w:t>
      </w:r>
      <w:bookmarkEnd w:id="100007"/>
    </w:p>
    <w:p>
      <w:pPr>
        <w:spacing w:after="80" w:line="312"/>
        <w:ind w:firstLine="480"/>
        <w:jc w:val="both"/>
      </w:pPr>
      <w:r>
        <w:rPr>
          <w:rFonts w:ascii="Times New Roman" w:eastAsia="SimSun"/>
          <w:color w:val="182030"/>
          <w:sz w:val="24"/>
          <w:szCs w:val="24"/>
        </w:rPr>
        <w:t xml:space="preserve">Major violations affect data integrity, security, or audit readiness. They require immediate escalation, a remediation plan, and affected work is paused until resolved. The Delivery Orchestrator must be notified within four hours of identification.</w:t>
      </w:r>
    </w:p>
    <w:p>
      <w:pPr>
        <w:pStyle w:val="Heading2"/>
        <w:spacing w:after="120" w:before="240" w:line="312"/>
      </w:pPr>
      <w:bookmarkStart w:id="100008" w:name="_Toc100008"/>
      <w:r>
        <w:rPr>
          <w:rFonts w:ascii="Times New Roman" w:eastAsia="SimHei"/>
          <w:b/>
          <w:bCs/>
          <w:color w:val="182030"/>
        </w:rPr>
        <w:t xml:space="preserve">6.3 Critical Violations</w:t>
      </w:r>
      <w:bookmarkEnd w:id="100008"/>
    </w:p>
    <w:p>
      <w:pPr>
        <w:spacing w:after="80" w:line="312"/>
        <w:ind w:firstLine="480"/>
        <w:jc w:val="both"/>
      </w:pPr>
      <w:r>
        <w:rPr>
          <w:rFonts w:ascii="Times New Roman" w:eastAsia="SimSun"/>
          <w:color w:val="182030"/>
          <w:sz w:val="24"/>
          <w:szCs w:val="24"/>
        </w:rPr>
        <w:t xml:space="preserve">Critical violations involve an active data breach, security incident, or compliance violation. They require immediate escalation to human-in-the-loop, the affected component is quarantined, and incident response is initiated. All critical violations are reported to the program sponsor within one hour.</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gridCol w:w="100"/>
        <w:gridCol w:w="100"/>
      </w:tblGrid>
      <w:tr>
        <w:trPr>
          <w:tblHeader/>
        </w:trPr>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Severity</w:t>
            </w:r>
          </w:p>
        </w:tc>
        <w:tc>
          <w:tcPr>
            <w:tcW w:type="pct" w:w="3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Criteria</w:t>
            </w:r>
          </w:p>
        </w:tc>
        <w:tc>
          <w:tcPr>
            <w:tcW w:type="pct" w:w="3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Response Protocol</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Reporting Timeline</w:t>
            </w:r>
          </w:p>
        </w:tc>
      </w:tr>
      <w:tr>
        <w:trPr>
          <w:cantSplit/>
        </w:trPr>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Minor</w:t>
            </w:r>
          </w:p>
        </w:tc>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Does not affect data integrity, security, or audit readiness</w:t>
            </w:r>
          </w:p>
        </w:tc>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Logged and remediated within the sprint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Within sprint</w:t>
            </w:r>
          </w:p>
        </w:tc>
      </w:tr>
      <w:tr>
        <w:trPr>
          <w:cantSplit/>
        </w:trPr>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Major</w:t>
            </w:r>
          </w:p>
        </w:tc>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Affects data integrity, security, or audit readiness</w:t>
            </w:r>
          </w:p>
        </w:tc>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Immediate escalation, remediation plan required, affected work paused</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Within 4 hours</w:t>
            </w:r>
          </w:p>
        </w:tc>
      </w:tr>
      <w:tr>
        <w:trPr>
          <w:cantSplit/>
        </w:trPr>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Critical</w:t>
            </w:r>
          </w:p>
        </w:tc>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Active data breach, security incident, or compliance violation</w:t>
            </w:r>
          </w:p>
        </w:tc>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Immediate escalation to human-in-the-loop, component quarantined, incident response initiated</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Within 1 hour</w:t>
            </w:r>
          </w:p>
        </w:tc>
      </w:tr>
    </w:tbl>
    <w:p>
      <w:pPr>
        <w:spacing w:after="80" w:line="312"/>
        <w:ind w:firstLine="480"/>
        <w:jc w:val="both"/>
      </w:pPr>
      <w:r>
        <w:rPr>
          <w:rFonts w:ascii="Times New Roman" w:eastAsia="SimSun"/>
          <w:color w:val="182030"/>
          <w:sz w:val="24"/>
          <w:szCs w:val="24"/>
        </w:rPr>
        <w:t xml:space="preserve">All violations are logged in the program risk register and reviewed at weekly governance meetings. The Red Team/Compliance Agent is responsible for independent verification that violations have been properly classified, escalated, and remediated.</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08080"/>
        <w:sz w:val="18"/>
        <w:szCs w:val="18"/>
      </w:rPr>
      <w:t xml:space="preserve">Aceli LAT AI Agent Operating Rules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820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8203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8203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820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2026-06-12T05:17:26.351Z</dcterms:created>
  <dcterms:modified xsi:type="dcterms:W3CDTF">2026-06-12T05:17:26.351Z</dcterms:modified>
</cp:coreProperties>
</file>

<file path=docProps/custom.xml><?xml version="1.0" encoding="utf-8"?>
<Properties xmlns="http://schemas.openxmlformats.org/officeDocument/2006/custom-properties" xmlns:vt="http://schemas.openxmlformats.org/officeDocument/2006/docPropsVTypes"/>
</file>