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header+xml" PartName="/word/head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rPr>
          <w:trHeight w:val="16838" w:hRule="exact"/>
        </w:trPr>
        <w:tc>
          <w:tcPr>
            <w:tcBorders>
              <w:top w:val="none" w:color="FFFFFF" w:sz="0"/>
              <w:left w:val="none" w:color="FFFFFF" w:sz="0"/>
              <w:bottom w:val="none" w:color="FFFFFF" w:sz="0"/>
              <w:right w:val="none" w:color="FFFFFF" w:sz="0"/>
            </w:tcBorders>
            <w:shd w:val="clear"/>
          </w:tcPr>
          <w:p>
            <w:pPr>
              <w:spacing w:before="4085"/>
            </w:pPr>
          </w:p>
          <w:p>
            <w:pPr>
              <w:pBdr>
                <w:bottom w:val="single" w:sz="6" w:space="8"/>
              </w:pBdr>
              <w:spacing w:after="500"/>
              <w:ind w:left="1200" w:right="800"/>
            </w:pPr>
            <w:r>
              <w:rPr>
                <w:rFonts w:ascii="Calibri" w:eastAsia="SimHei"/>
                <w:spacing w:val="40"/>
                <w:sz w:val="18"/>
                <w:szCs w:val="18"/>
              </w:rPr>
              <w:t xml:space="preserve">S  E  C  U  R  I  T  Y     C  H  E  C  K  L  I  S  T</w:t>
            </w:r>
          </w:p>
          <w:p>
            <w:pPr>
              <w:spacing w:after="100" w:line="552" w:lineRule="atLeast"/>
              <w:ind w:left="1200"/>
            </w:pPr>
            <w:r>
              <w:rPr>
                <w:rFonts w:ascii="Arial" w:eastAsia="SimHei"/>
                <w:b/>
                <w:bCs/>
                <w:color w:val="FFFFFF"/>
                <w:sz w:val="48"/>
                <w:szCs w:val="48"/>
              </w:rPr>
              <w:t xml:space="preserve">Aceli LAT Security</w:t>
            </w:r>
          </w:p>
          <w:p>
            <w:pPr>
              <w:spacing w:after="100" w:line="552" w:lineRule="atLeast"/>
              <w:ind w:left="1200"/>
            </w:pPr>
            <w:r>
              <w:rPr>
                <w:rFonts w:ascii="Arial" w:eastAsia="SimHei"/>
                <w:b/>
                <w:bCs/>
                <w:color w:val="FFFFFF"/>
                <w:sz w:val="48"/>
                <w:szCs w:val="48"/>
              </w:rPr>
              <w:t xml:space="preserve">and Tenant Approval</w:t>
            </w:r>
          </w:p>
          <w:p>
            <w:pPr>
              <w:spacing w:after="300" w:line="552" w:lineRule="atLeast"/>
              <w:ind w:left="1200"/>
            </w:pPr>
            <w:r>
              <w:rPr>
                <w:rFonts w:ascii="Arial" w:eastAsia="SimHei"/>
                <w:b/>
                <w:bCs/>
                <w:color w:val="FFFFFF"/>
                <w:sz w:val="48"/>
                <w:szCs w:val="48"/>
              </w:rPr>
              <w:t xml:space="preserve">Checklist</w:t>
            </w:r>
          </w:p>
          <w:p>
            <w:pPr>
              <w:spacing w:after="800"/>
              <w:ind w:left="1200"/>
            </w:pPr>
            <w:r>
              <w:rPr>
                <w:rFonts w:ascii="Arial" w:eastAsia="Microsoft YaHei"/>
                <w:color w:val="B0B8C0"/>
                <w:sz w:val="24"/>
                <w:szCs w:val="24"/>
              </w:rPr>
              <w:t xml:space="preserve">Security Review and Tenant Approval Process for Production Build Components</w:t>
            </w:r>
          </w:p>
          <w:p>
            <w:pPr>
              <w:pBdr>
                <w:left w:val="single" w:sz="8" w:space="12"/>
              </w:pBdr>
              <w:spacing w:after="80"/>
              <w:ind w:left="1400"/>
            </w:pPr>
            <w:r>
              <w:rPr>
                <w:rFonts w:ascii="Arial" w:eastAsia="Microsoft YaHei"/>
                <w:color w:val="90989F"/>
                <w:sz w:val="24"/>
                <w:szCs w:val="24"/>
              </w:rPr>
              <w:t xml:space="preserve">Project: Aceli Africa LAT Platform</w:t>
            </w:r>
          </w:p>
          <w:p>
            <w:pPr>
              <w:pBdr>
                <w:left w:val="single" w:sz="8" w:space="12"/>
              </w:pBdr>
              <w:spacing w:after="80"/>
              <w:ind w:left="1400"/>
            </w:pPr>
            <w:r>
              <w:rPr>
                <w:rFonts w:ascii="Arial" w:eastAsia="Microsoft YaHei"/>
                <w:color w:val="90989F"/>
                <w:sz w:val="24"/>
                <w:szCs w:val="24"/>
              </w:rPr>
              <w:t xml:space="preserve">Version: 1.1 — Updated</w:t>
            </w:r>
          </w:p>
          <w:p>
            <w:pPr>
              <w:pBdr>
                <w:left w:val="single" w:sz="8" w:space="12"/>
              </w:pBdr>
              <w:spacing w:after="80"/>
              <w:ind w:left="1400"/>
            </w:pPr>
            <w:r>
              <w:rPr>
                <w:rFonts w:ascii="Arial" w:eastAsia="Microsoft YaHei"/>
                <w:color w:val="90989F"/>
                <w:sz w:val="24"/>
                <w:szCs w:val="24"/>
              </w:rPr>
              <w:t xml:space="preserve">Date: 2026-06-12</w:t>
            </w:r>
          </w:p>
          <w:p>
            <w:pPr>
              <w:pBdr>
                <w:left w:val="single" w:sz="8" w:space="12"/>
              </w:pBdr>
              <w:spacing w:after="80"/>
              <w:ind w:left="1400"/>
            </w:pPr>
            <w:r>
              <w:rPr>
                <w:rFonts w:ascii="Arial" w:eastAsia="Microsoft YaHei"/>
                <w:color w:val="90989F"/>
                <w:sz w:val="24"/>
                <w:szCs w:val="24"/>
              </w:rPr>
              <w:t xml:space="preserve">Classification: Confidential</w:t>
            </w:r>
          </w:p>
          <w:p>
            <w:pPr>
              <w:spacing w:before="4085"/>
            </w:pPr>
          </w:p>
          <w:p>
            <w:pPr>
              <w:pBdr>
                <w:top w:val="single" w:sz="2" w:space="8"/>
              </w:pBdr>
              <w:spacing w:before="200"/>
              <w:ind w:left="1200" w:right="800"/>
            </w:pPr>
            <w:r>
              <w:rPr>
                <w:rFonts w:ascii="Arial"/>
                <w:color w:val="687078"/>
                <w:sz w:val="16"/>
                <w:szCs w:val="16"/>
              </w:rPr>
              <w:t xml:space="preserve">Aceli Africa</w:t>
            </w:r>
            <w:r>
              <w:t xml:space="preserve">                                        </w:t>
            </w:r>
            <w:r>
              <w:rPr>
                <w:rFonts w:ascii="Arial"/>
                <w:color w:val="687078"/>
                <w:sz w:val="16"/>
                <w:szCs w:val="16"/>
              </w:rPr>
              <w:t xml:space="preserve">Sprint 0 Deliverable</w:t>
            </w:r>
          </w:p>
        </w:tc>
      </w:tr>
    </w:tbl>
    <w:p>
      <w:pPr>
        <w:sectPr>
          <w:pgSz w:w="11906" w:h="16838" w:orient="portrait"/>
          <w:pgMar w:top="0" w:right="0" w:bottom="0" w:left="0" w:header="708" w:footer="708" w:gutter="0"/>
          <w:pgNumType/>
          <w:docGrid w:linePitch="360"/>
        </w:sectPr>
      </w:pPr>
    </w:p>
    <w:p>
      <w:pPr>
        <w:spacing w:after="360" w:before="480"/>
        <w:jc w:val="center"/>
      </w:pPr>
      <w:r>
        <w:rPr>
          <w:rFonts w:ascii="Times New Roman" w:eastAsia="SimHei"/>
          <w:b/>
          <w:bCs/>
          <w:sz w:val="32"/>
          <w:szCs w:val="32"/>
        </w:rPr>
        <w:t xml:space="preserve">Table of Contents</w:t>
      </w:r>
    </w:p>
    <w:sdt>
      <w:sdtPr>
        <w:alias w:val="Table of Contents"/>
      </w:sdtPr>
      <w:sdtContent>
        <w:p>
          <w:r>
            <w:fldChar w:fldCharType="begin" w:dirty="true"/>
          </w:r>
          <w:r>
            <w:instrText xml:space="preserve">TOC \h \o "1-3"</w:instrText>
          </w:r>
          <w:r>
            <w:fldChar w:fldCharType="separate"/>
          </w:r>
        </w:p>
        <w:p>
          <w:pPr>
            <w:pStyle w:val="9"/>
            <w:tabs>
              <w:tab w:val="right" w:leader="dot" w:pos="9026"/>
            </w:tabs>
            <w:spacing w:before="120" w:after="60"/>
          </w:pPr>
          <w:hyperlink w:anchor="_Toc100000" w:history="1">
            <w:r>
              <w:rPr>
                <w:rStyle w:val="Hyperlink"/>
              </w:rPr>
              <w:t>1. Checklist Purpose</w:t>
            </w:r>
            <w:r>
              <w:tab/>
            </w:r>
            <w:r>
              <w:fldChar w:fldCharType="begin"/>
            </w:r>
            <w:r>
              <w:instrText xml:space="preserve"> PAGEREF _Toc100000 \h </w:instrText>
            </w:r>
            <w:r>
              <w:fldChar w:fldCharType="separate"/>
            </w:r>
            <w:r>
              <w:t>1</w:t>
            </w:r>
            <w:r>
              <w:fldChar w:fldCharType="end"/>
            </w:r>
          </w:hyperlink>
        </w:p>
        <w:p>
          <w:pPr>
            <w:pStyle w:val="9"/>
            <w:tabs>
              <w:tab w:val="right" w:leader="dot" w:pos="9026"/>
            </w:tabs>
            <w:spacing w:before="120" w:after="60"/>
          </w:pPr>
          <w:hyperlink w:anchor="_Toc100001" w:history="1">
            <w:r>
              <w:rPr>
                <w:rStyle w:val="Hyperlink"/>
              </w:rPr>
              <w:t>2. Mandatory Enterprise Platforms (Pre-Approved)</w:t>
            </w:r>
            <w:r>
              <w:tab/>
            </w:r>
            <w:r>
              <w:fldChar w:fldCharType="begin"/>
            </w:r>
            <w:r>
              <w:instrText xml:space="preserve"> PAGEREF _Toc100001 \h </w:instrText>
            </w:r>
            <w:r>
              <w:fldChar w:fldCharType="separate"/>
            </w:r>
            <w:r>
              <w:t>1</w:t>
            </w:r>
            <w:r>
              <w:fldChar w:fldCharType="end"/>
            </w:r>
          </w:hyperlink>
        </w:p>
        <w:p>
          <w:pPr>
            <w:pStyle w:val="9"/>
            <w:tabs>
              <w:tab w:val="right" w:leader="dot" w:pos="9026"/>
            </w:tabs>
            <w:spacing w:before="120" w:after="60"/>
          </w:pPr>
          <w:hyperlink w:anchor="_Toc100002" w:history="1">
            <w:r>
              <w:rPr>
                <w:rStyle w:val="Hyperlink"/>
              </w:rPr>
              <w:t>3. Components Requiring Security Review</w:t>
            </w:r>
            <w:r>
              <w:tab/>
            </w:r>
            <w:r>
              <w:fldChar w:fldCharType="begin"/>
            </w:r>
            <w:r>
              <w:instrText xml:space="preserve"> PAGEREF _Toc100002 \h </w:instrText>
            </w:r>
            <w:r>
              <w:fldChar w:fldCharType="separate"/>
            </w:r>
            <w:r>
              <w:t>2</w:t>
            </w:r>
            <w:r>
              <w:fldChar w:fldCharType="end"/>
            </w:r>
          </w:hyperlink>
        </w:p>
        <w:p>
          <w:pPr>
            <w:pStyle w:val="9"/>
            <w:tabs>
              <w:tab w:val="right" w:leader="dot" w:pos="9026"/>
            </w:tabs>
            <w:spacing w:before="120" w:after="60"/>
          </w:pPr>
          <w:hyperlink w:anchor="_Toc100003" w:history="1">
            <w:r>
              <w:rPr>
                <w:rStyle w:val="Hyperlink"/>
              </w:rPr>
              <w:t>4. Security Review Criteria</w:t>
            </w:r>
            <w:r>
              <w:tab/>
            </w:r>
            <w:r>
              <w:fldChar w:fldCharType="begin"/>
            </w:r>
            <w:r>
              <w:instrText xml:space="preserve"> PAGEREF _Toc100003 \h </w:instrText>
            </w:r>
            <w:r>
              <w:fldChar w:fldCharType="separate"/>
            </w:r>
            <w:r>
              <w:t>2</w:t>
            </w:r>
            <w:r>
              <w:fldChar w:fldCharType="end"/>
            </w:r>
          </w:hyperlink>
        </w:p>
        <w:p>
          <w:pPr>
            <w:pStyle w:val="11"/>
            <w:ind w:left="360"/>
            <w:tabs>
              <w:tab w:val="right" w:leader="dot" w:pos="9026"/>
            </w:tabs>
            <w:spacing w:before="120" w:after="60"/>
          </w:pPr>
          <w:hyperlink w:anchor="_Toc100004" w:history="1">
            <w:r>
              <w:rPr>
                <w:rStyle w:val="Hyperlink"/>
              </w:rPr>
              <w:t>4.1 Data Residency Compliance</w:t>
            </w:r>
            <w:r>
              <w:tab/>
            </w:r>
            <w:r>
              <w:fldChar w:fldCharType="begin"/>
            </w:r>
            <w:r>
              <w:instrText xml:space="preserve"> PAGEREF _Toc100004 \h </w:instrText>
            </w:r>
            <w:r>
              <w:fldChar w:fldCharType="separate"/>
            </w:r>
            <w:r>
              <w:t>2</w:t>
            </w:r>
            <w:r>
              <w:fldChar w:fldCharType="end"/>
            </w:r>
          </w:hyperlink>
        </w:p>
        <w:p>
          <w:pPr>
            <w:pStyle w:val="11"/>
            <w:ind w:left="360"/>
            <w:tabs>
              <w:tab w:val="right" w:leader="dot" w:pos="9026"/>
            </w:tabs>
            <w:spacing w:before="120" w:after="60"/>
          </w:pPr>
          <w:hyperlink w:anchor="_Toc100005" w:history="1">
            <w:r>
              <w:rPr>
                <w:rStyle w:val="Hyperlink"/>
              </w:rPr>
              <w:t>4.2 Tenant Isolation</w:t>
            </w:r>
            <w:r>
              <w:tab/>
            </w:r>
            <w:r>
              <w:fldChar w:fldCharType="begin"/>
            </w:r>
            <w:r>
              <w:instrText xml:space="preserve"> PAGEREF _Toc100005 \h </w:instrText>
            </w:r>
            <w:r>
              <w:fldChar w:fldCharType="separate"/>
            </w:r>
            <w:r>
              <w:t>2</w:t>
            </w:r>
            <w:r>
              <w:fldChar w:fldCharType="end"/>
            </w:r>
          </w:hyperlink>
        </w:p>
        <w:p>
          <w:pPr>
            <w:pStyle w:val="11"/>
            <w:ind w:left="360"/>
            <w:tabs>
              <w:tab w:val="right" w:leader="dot" w:pos="9026"/>
            </w:tabs>
            <w:spacing w:before="120" w:after="60"/>
          </w:pPr>
          <w:hyperlink w:anchor="_Toc100006" w:history="1">
            <w:r>
              <w:rPr>
                <w:rStyle w:val="Hyperlink"/>
              </w:rPr>
              <w:t>4.3 Training Data Exclusion</w:t>
            </w:r>
            <w:r>
              <w:tab/>
            </w:r>
            <w:r>
              <w:fldChar w:fldCharType="begin"/>
            </w:r>
            <w:r>
              <w:instrText xml:space="preserve"> PAGEREF _Toc100006 \h </w:instrText>
            </w:r>
            <w:r>
              <w:fldChar w:fldCharType="separate"/>
            </w:r>
            <w:r>
              <w:t>3</w:t>
            </w:r>
            <w:r>
              <w:fldChar w:fldCharType="end"/>
            </w:r>
          </w:hyperlink>
        </w:p>
        <w:p>
          <w:pPr>
            <w:pStyle w:val="11"/>
            <w:ind w:left="360"/>
            <w:tabs>
              <w:tab w:val="right" w:leader="dot" w:pos="9026"/>
            </w:tabs>
            <w:spacing w:before="120" w:after="60"/>
          </w:pPr>
          <w:hyperlink w:anchor="_Toc100007" w:history="1">
            <w:r>
              <w:rPr>
                <w:rStyle w:val="Hyperlink"/>
              </w:rPr>
              <w:t>4.4 Audit and Logging Capability</w:t>
            </w:r>
            <w:r>
              <w:tab/>
            </w:r>
            <w:r>
              <w:fldChar w:fldCharType="begin"/>
            </w:r>
            <w:r>
              <w:instrText xml:space="preserve"> PAGEREF _Toc100007 \h </w:instrText>
            </w:r>
            <w:r>
              <w:fldChar w:fldCharType="separate"/>
            </w:r>
            <w:r>
              <w:t>3</w:t>
            </w:r>
            <w:r>
              <w:fldChar w:fldCharType="end"/>
            </w:r>
          </w:hyperlink>
        </w:p>
        <w:p>
          <w:pPr>
            <w:pStyle w:val="11"/>
            <w:ind w:left="360"/>
            <w:tabs>
              <w:tab w:val="right" w:leader="dot" w:pos="9026"/>
            </w:tabs>
            <w:spacing w:before="120" w:after="60"/>
          </w:pPr>
          <w:hyperlink w:anchor="_Toc100008" w:history="1">
            <w:r>
              <w:rPr>
                <w:rStyle w:val="Hyperlink"/>
              </w:rPr>
              <w:t>4.5 Access Control</w:t>
            </w:r>
            <w:r>
              <w:tab/>
            </w:r>
            <w:r>
              <w:fldChar w:fldCharType="begin"/>
            </w:r>
            <w:r>
              <w:instrText xml:space="preserve"> PAGEREF _Toc100008 \h </w:instrText>
            </w:r>
            <w:r>
              <w:fldChar w:fldCharType="separate"/>
            </w:r>
            <w:r>
              <w:t>3</w:t>
            </w:r>
            <w:r>
              <w:fldChar w:fldCharType="end"/>
            </w:r>
          </w:hyperlink>
        </w:p>
        <w:p>
          <w:pPr>
            <w:pStyle w:val="11"/>
            <w:ind w:left="360"/>
            <w:tabs>
              <w:tab w:val="right" w:leader="dot" w:pos="9026"/>
            </w:tabs>
            <w:spacing w:before="120" w:after="60"/>
          </w:pPr>
          <w:hyperlink w:anchor="_Toc100009" w:history="1">
            <w:r>
              <w:rPr>
                <w:rStyle w:val="Hyperlink"/>
              </w:rPr>
              <w:t>4.6 Encryption</w:t>
            </w:r>
            <w:r>
              <w:tab/>
            </w:r>
            <w:r>
              <w:fldChar w:fldCharType="begin"/>
            </w:r>
            <w:r>
              <w:instrText xml:space="preserve"> PAGEREF _Toc100009 \h </w:instrText>
            </w:r>
            <w:r>
              <w:fldChar w:fldCharType="separate"/>
            </w:r>
            <w:r>
              <w:t>3</w:t>
            </w:r>
            <w:r>
              <w:fldChar w:fldCharType="end"/>
            </w:r>
          </w:hyperlink>
        </w:p>
        <w:p>
          <w:pPr>
            <w:pStyle w:val="11"/>
            <w:ind w:left="360"/>
            <w:tabs>
              <w:tab w:val="right" w:leader="dot" w:pos="9026"/>
            </w:tabs>
            <w:spacing w:before="120" w:after="60"/>
          </w:pPr>
          <w:hyperlink w:anchor="_Toc100010" w:history="1">
            <w:r>
              <w:rPr>
                <w:rStyle w:val="Hyperlink"/>
              </w:rPr>
              <w:t>4.7 Vulnerability Management</w:t>
            </w:r>
            <w:r>
              <w:tab/>
            </w:r>
            <w:r>
              <w:fldChar w:fldCharType="begin"/>
            </w:r>
            <w:r>
              <w:instrText xml:space="preserve"> PAGEREF _Toc100010 \h </w:instrText>
            </w:r>
            <w:r>
              <w:fldChar w:fldCharType="separate"/>
            </w:r>
            <w:r>
              <w:t>4</w:t>
            </w:r>
            <w:r>
              <w:fldChar w:fldCharType="end"/>
            </w:r>
          </w:hyperlink>
        </w:p>
        <w:p>
          <w:pPr>
            <w:pStyle w:val="11"/>
            <w:ind w:left="360"/>
            <w:tabs>
              <w:tab w:val="right" w:leader="dot" w:pos="9026"/>
            </w:tabs>
            <w:spacing w:before="120" w:after="60"/>
          </w:pPr>
          <w:hyperlink w:anchor="_Toc100011" w:history="1">
            <w:r>
              <w:rPr>
                <w:rStyle w:val="Hyperlink"/>
              </w:rPr>
              <w:t>4.8 Business Continuity</w:t>
            </w:r>
            <w:r>
              <w:tab/>
            </w:r>
            <w:r>
              <w:fldChar w:fldCharType="begin"/>
            </w:r>
            <w:r>
              <w:instrText xml:space="preserve"> PAGEREF _Toc100011 \h </w:instrText>
            </w:r>
            <w:r>
              <w:fldChar w:fldCharType="separate"/>
            </w:r>
            <w:r>
              <w:t>4</w:t>
            </w:r>
            <w:r>
              <w:fldChar w:fldCharType="end"/>
            </w:r>
          </w:hyperlink>
        </w:p>
        <w:p>
          <w:pPr>
            <w:pStyle w:val="11"/>
            <w:ind w:left="360"/>
            <w:tabs>
              <w:tab w:val="right" w:leader="dot" w:pos="9026"/>
            </w:tabs>
            <w:spacing w:before="120" w:after="60"/>
          </w:pPr>
          <w:hyperlink w:anchor="_Toc100012" w:history="1">
            <w:r>
              <w:rPr>
                <w:rStyle w:val="Hyperlink"/>
              </w:rPr>
              <w:t>4.9 Budget Separation</w:t>
            </w:r>
            <w:r>
              <w:tab/>
            </w:r>
            <w:r>
              <w:fldChar w:fldCharType="begin"/>
            </w:r>
            <w:r>
              <w:instrText xml:space="preserve"> PAGEREF _Toc100012 \h </w:instrText>
            </w:r>
            <w:r>
              <w:fldChar w:fldCharType="separate"/>
            </w:r>
            <w:r>
              <w:t>4</w:t>
            </w:r>
            <w:r>
              <w:fldChar w:fldCharType="end"/>
            </w:r>
          </w:hyperlink>
        </w:p>
        <w:p>
          <w:pPr>
            <w:pStyle w:val="9"/>
            <w:tabs>
              <w:tab w:val="right" w:leader="dot" w:pos="9026"/>
            </w:tabs>
            <w:spacing w:before="120" w:after="60"/>
          </w:pPr>
          <w:hyperlink w:anchor="_Toc100013" w:history="1">
            <w:r>
              <w:rPr>
                <w:rStyle w:val="Hyperlink"/>
              </w:rPr>
              <w:t>5. Tenant Approval Process</w:t>
            </w:r>
            <w:r>
              <w:tab/>
            </w:r>
            <w:r>
              <w:fldChar w:fldCharType="begin"/>
            </w:r>
            <w:r>
              <w:instrText xml:space="preserve"> PAGEREF _Toc100013 \h </w:instrText>
            </w:r>
            <w:r>
              <w:fldChar w:fldCharType="separate"/>
            </w:r>
            <w:r>
              <w:t>4</w:t>
            </w:r>
            <w:r>
              <w:fldChar w:fldCharType="end"/>
            </w:r>
          </w:hyperlink>
        </w:p>
        <w:p>
          <w:pPr>
            <w:pStyle w:val="11"/>
            <w:ind w:left="360"/>
            <w:tabs>
              <w:tab w:val="right" w:leader="dot" w:pos="9026"/>
            </w:tabs>
            <w:spacing w:before="120" w:after="60"/>
          </w:pPr>
          <w:hyperlink w:anchor="_Toc100014" w:history="1">
            <w:r>
              <w:rPr>
                <w:rStyle w:val="Hyperlink"/>
              </w:rPr>
              <w:t>5.1 Step 1: Component Identification</w:t>
            </w:r>
            <w:r>
              <w:tab/>
            </w:r>
            <w:r>
              <w:fldChar w:fldCharType="begin"/>
            </w:r>
            <w:r>
              <w:instrText xml:space="preserve"> PAGEREF _Toc100014 \h </w:instrText>
            </w:r>
            <w:r>
              <w:fldChar w:fldCharType="separate"/>
            </w:r>
            <w:r>
              <w:t>5</w:t>
            </w:r>
            <w:r>
              <w:fldChar w:fldCharType="end"/>
            </w:r>
          </w:hyperlink>
        </w:p>
        <w:p>
          <w:pPr>
            <w:pStyle w:val="11"/>
            <w:ind w:left="360"/>
            <w:tabs>
              <w:tab w:val="right" w:leader="dot" w:pos="9026"/>
            </w:tabs>
            <w:spacing w:before="120" w:after="60"/>
          </w:pPr>
          <w:hyperlink w:anchor="_Toc100015" w:history="1">
            <w:r>
              <w:rPr>
                <w:rStyle w:val="Hyperlink"/>
              </w:rPr>
              <w:t>5.2 Step 2: Security Review Submission</w:t>
            </w:r>
            <w:r>
              <w:tab/>
            </w:r>
            <w:r>
              <w:fldChar w:fldCharType="begin"/>
            </w:r>
            <w:r>
              <w:instrText xml:space="preserve"> PAGEREF _Toc100015 \h </w:instrText>
            </w:r>
            <w:r>
              <w:fldChar w:fldCharType="separate"/>
            </w:r>
            <w:r>
              <w:t>5</w:t>
            </w:r>
            <w:r>
              <w:fldChar w:fldCharType="end"/>
            </w:r>
          </w:hyperlink>
        </w:p>
        <w:p>
          <w:pPr>
            <w:pStyle w:val="11"/>
            <w:ind w:left="360"/>
            <w:tabs>
              <w:tab w:val="right" w:leader="dot" w:pos="9026"/>
            </w:tabs>
            <w:spacing w:before="120" w:after="60"/>
          </w:pPr>
          <w:hyperlink w:anchor="_Toc100016" w:history="1">
            <w:r>
              <w:rPr>
                <w:rStyle w:val="Hyperlink"/>
              </w:rPr>
              <w:t>5.3 Step 3: Red Team Assessment</w:t>
            </w:r>
            <w:r>
              <w:tab/>
            </w:r>
            <w:r>
              <w:fldChar w:fldCharType="begin"/>
            </w:r>
            <w:r>
              <w:instrText xml:space="preserve"> PAGEREF _Toc100016 \h </w:instrText>
            </w:r>
            <w:r>
              <w:fldChar w:fldCharType="separate"/>
            </w:r>
            <w:r>
              <w:t>5</w:t>
            </w:r>
            <w:r>
              <w:fldChar w:fldCharType="end"/>
            </w:r>
          </w:hyperlink>
        </w:p>
        <w:p>
          <w:pPr>
            <w:pStyle w:val="11"/>
            <w:ind w:left="360"/>
            <w:tabs>
              <w:tab w:val="right" w:leader="dot" w:pos="9026"/>
            </w:tabs>
            <w:spacing w:before="120" w:after="60"/>
          </w:pPr>
          <w:hyperlink w:anchor="_Toc100017" w:history="1">
            <w:r>
              <w:rPr>
                <w:rStyle w:val="Hyperlink"/>
              </w:rPr>
              <w:t>5.4 Step 4: Architecture Review</w:t>
            </w:r>
            <w:r>
              <w:tab/>
            </w:r>
            <w:r>
              <w:fldChar w:fldCharType="begin"/>
            </w:r>
            <w:r>
              <w:instrText xml:space="preserve"> PAGEREF _Toc100017 \h </w:instrText>
            </w:r>
            <w:r>
              <w:fldChar w:fldCharType="separate"/>
            </w:r>
            <w:r>
              <w:t>5</w:t>
            </w:r>
            <w:r>
              <w:fldChar w:fldCharType="end"/>
            </w:r>
          </w:hyperlink>
        </w:p>
        <w:p>
          <w:pPr>
            <w:pStyle w:val="11"/>
            <w:ind w:left="360"/>
            <w:tabs>
              <w:tab w:val="right" w:leader="dot" w:pos="9026"/>
            </w:tabs>
            <w:spacing w:before="120" w:after="60"/>
          </w:pPr>
          <w:hyperlink w:anchor="_Toc100018" w:history="1">
            <w:r>
              <w:rPr>
                <w:rStyle w:val="Hyperlink"/>
              </w:rPr>
              <w:t>5.5 Step 5: Approval Decision</w:t>
            </w:r>
            <w:r>
              <w:tab/>
            </w:r>
            <w:r>
              <w:fldChar w:fldCharType="begin"/>
            </w:r>
            <w:r>
              <w:instrText xml:space="preserve"> PAGEREF _Toc100018 \h </w:instrText>
            </w:r>
            <w:r>
              <w:fldChar w:fldCharType="separate"/>
            </w:r>
            <w:r>
              <w:t>6</w:t>
            </w:r>
            <w:r>
              <w:fldChar w:fldCharType="end"/>
            </w:r>
          </w:hyperlink>
        </w:p>
        <w:p>
          <w:pPr>
            <w:pStyle w:val="11"/>
            <w:ind w:left="360"/>
            <w:tabs>
              <w:tab w:val="right" w:leader="dot" w:pos="9026"/>
            </w:tabs>
            <w:spacing w:before="120" w:after="60"/>
          </w:pPr>
          <w:hyperlink w:anchor="_Toc100019" w:history="1">
            <w:r>
              <w:rPr>
                <w:rStyle w:val="Hyperlink"/>
              </w:rPr>
              <w:t>5.6 Step 6: Approved List Update</w:t>
            </w:r>
            <w:r>
              <w:tab/>
            </w:r>
            <w:r>
              <w:fldChar w:fldCharType="begin"/>
            </w:r>
            <w:r>
              <w:instrText xml:space="preserve"> PAGEREF _Toc100019 \h </w:instrText>
            </w:r>
            <w:r>
              <w:fldChar w:fldCharType="separate"/>
            </w:r>
            <w:r>
              <w:t>6</w:t>
            </w:r>
            <w:r>
              <w:fldChar w:fldCharType="end"/>
            </w:r>
          </w:hyperlink>
        </w:p>
        <w:p>
          <w:pPr>
            <w:pStyle w:val="11"/>
            <w:ind w:left="360"/>
            <w:tabs>
              <w:tab w:val="right" w:leader="dot" w:pos="9026"/>
            </w:tabs>
            <w:spacing w:before="120" w:after="60"/>
          </w:pPr>
          <w:hyperlink w:anchor="_Toc100020" w:history="1">
            <w:r>
              <w:rPr>
                <w:rStyle w:val="Hyperlink"/>
              </w:rPr>
              <w:t>5.7 Step 7: Ongoing Monitoring</w:t>
            </w:r>
            <w:r>
              <w:tab/>
            </w:r>
            <w:r>
              <w:fldChar w:fldCharType="begin"/>
            </w:r>
            <w:r>
              <w:instrText xml:space="preserve"> PAGEREF _Toc100020 \h </w:instrText>
            </w:r>
            <w:r>
              <w:fldChar w:fldCharType="separate"/>
            </w:r>
            <w:r>
              <w:t>6</w:t>
            </w:r>
            <w:r>
              <w:fldChar w:fldCharType="end"/>
            </w:r>
          </w:hyperlink>
        </w:p>
        <w:p>
          <w:pPr>
            <w:pStyle w:val="9"/>
            <w:tabs>
              <w:tab w:val="right" w:leader="dot" w:pos="9026"/>
            </w:tabs>
            <w:spacing w:before="120" w:after="60"/>
          </w:pPr>
          <w:hyperlink w:anchor="_Toc100021" w:history="1">
            <w:r>
              <w:rPr>
                <w:rStyle w:val="Hyperlink"/>
              </w:rPr>
              <w:t>6. Prohibited Components and Patterns</w:t>
            </w:r>
            <w:r>
              <w:tab/>
            </w:r>
            <w:r>
              <w:fldChar w:fldCharType="begin"/>
            </w:r>
            <w:r>
              <w:instrText xml:space="preserve"> PAGEREF _Toc100021 \h </w:instrText>
            </w:r>
            <w:r>
              <w:fldChar w:fldCharType="separate"/>
            </w:r>
            <w:r>
              <w:t>6</w:t>
            </w:r>
            <w:r>
              <w:fldChar w:fldCharType="end"/>
            </w:r>
          </w:hyperlink>
        </w:p>
        <w:p>
          <w:pPr>
            <w:pStyle w:val="9"/>
            <w:tabs>
              <w:tab w:val="right" w:leader="dot" w:pos="9026"/>
            </w:tabs>
            <w:spacing w:before="120" w:after="60"/>
          </w:pPr>
          <w:hyperlink w:anchor="_Toc100022" w:history="1">
            <w:r>
              <w:rPr>
                <w:rStyle w:val="Hyperlink"/>
              </w:rPr>
              <w:t>7. Compliance Validation Schedule</w:t>
            </w:r>
            <w:r>
              <w:tab/>
            </w:r>
            <w:r>
              <w:fldChar w:fldCharType="begin"/>
            </w:r>
            <w:r>
              <w:instrText xml:space="preserve"> PAGEREF _Toc100022 \h </w:instrText>
            </w:r>
            <w:r>
              <w:fldChar w:fldCharType="separate"/>
            </w:r>
            <w:r>
              <w:t>8</w:t>
            </w:r>
            <w:r>
              <w:fldChar w:fldCharType="end"/>
            </w:r>
          </w:hyperlink>
        </w:p>
        <w:p>
          <w:pPr>
            <w:pStyle w:val="9"/>
            <w:tabs>
              <w:tab w:val="right" w:leader="dot" w:pos="9026"/>
            </w:tabs>
            <w:spacing w:before="120" w:after="60"/>
          </w:pPr>
          <w:hyperlink w:anchor="_Toc100023" w:history="1">
            <w:r>
              <w:rPr>
                <w:rStyle w:val="Hyperlink"/>
              </w:rPr>
              <w:t>8. Consortium Clarification Impacts</w:t>
            </w:r>
            <w:r>
              <w:tab/>
            </w:r>
            <w:r>
              <w:fldChar w:fldCharType="begin"/>
            </w:r>
            <w:r>
              <w:instrText xml:space="preserve"> PAGEREF _Toc100023 \h </w:instrText>
            </w:r>
            <w:r>
              <w:fldChar w:fldCharType="separate"/>
            </w:r>
            <w:r>
              <w:t>8</w:t>
            </w:r>
            <w:r>
              <w:fldChar w:fldCharType="end"/>
            </w:r>
          </w:hyperlink>
        </w:p>
        <w:p>
          <w:pPr>
            <w:pStyle w:val="11"/>
            <w:ind w:left="360"/>
            <w:tabs>
              <w:tab w:val="right" w:leader="dot" w:pos="9026"/>
            </w:tabs>
            <w:spacing w:before="120" w:after="60"/>
          </w:pPr>
          <w:hyperlink w:anchor="_Toc100024" w:history="1">
            <w:r>
              <w:rPr>
                <w:rStyle w:val="Hyperlink"/>
              </w:rPr>
              <w:t>8.1 Claude for Nonprofits Confirmation (Consortium Clarification 7)</w:t>
            </w:r>
            <w:r>
              <w:tab/>
            </w:r>
            <w:r>
              <w:fldChar w:fldCharType="begin"/>
            </w:r>
            <w:r>
              <w:instrText xml:space="preserve"> PAGEREF _Toc100024 \h </w:instrText>
            </w:r>
            <w:r>
              <w:fldChar w:fldCharType="separate"/>
            </w:r>
            <w:r>
              <w:t>8</w:t>
            </w:r>
            <w:r>
              <w:fldChar w:fldCharType="end"/>
            </w:r>
          </w:hyperlink>
        </w:p>
        <w:p>
          <w:pPr>
            <w:pStyle w:val="11"/>
            <w:ind w:left="360"/>
            <w:tabs>
              <w:tab w:val="right" w:leader="dot" w:pos="9026"/>
            </w:tabs>
            <w:spacing w:before="120" w:after="60"/>
          </w:pPr>
          <w:hyperlink w:anchor="_Toc100025" w:history="1">
            <w:r>
              <w:rPr>
                <w:rStyle w:val="Hyperlink"/>
              </w:rPr>
              <w:t>8.2 Salesforce Enterprise Edition Details (Consortium Clarification 2)</w:t>
            </w:r>
            <w:r>
              <w:tab/>
            </w:r>
            <w:r>
              <w:fldChar w:fldCharType="begin"/>
            </w:r>
            <w:r>
              <w:instrText xml:space="preserve"> PAGEREF _Toc100025 \h </w:instrText>
            </w:r>
            <w:r>
              <w:fldChar w:fldCharType="separate"/>
            </w:r>
            <w:r>
              <w:t>9</w:t>
            </w:r>
            <w:r>
              <w:fldChar w:fldCharType="end"/>
            </w:r>
          </w:hyperlink>
        </w:p>
        <w:p>
          <w:pPr>
            <w:pStyle w:val="11"/>
            <w:ind w:left="360"/>
            <w:tabs>
              <w:tab w:val="right" w:leader="dot" w:pos="9026"/>
            </w:tabs>
            <w:spacing w:before="120" w:after="60"/>
          </w:pPr>
          <w:hyperlink w:anchor="_Toc100026" w:history="1">
            <w:r>
              <w:rPr>
                <w:rStyle w:val="Hyperlink"/>
              </w:rPr>
              <w:t>8.3 Transcription Requirements (Consortium Clarification 5)</w:t>
            </w:r>
            <w:r>
              <w:tab/>
            </w:r>
            <w:r>
              <w:fldChar w:fldCharType="begin"/>
            </w:r>
            <w:r>
              <w:instrText xml:space="preserve"> PAGEREF _Toc100026 \h </w:instrText>
            </w:r>
            <w:r>
              <w:fldChar w:fldCharType="separate"/>
            </w:r>
            <w:r>
              <w:t>9</w:t>
            </w:r>
            <w:r>
              <w:fldChar w:fldCharType="end"/>
            </w:r>
          </w:hyperlink>
        </w:p>
        <w:p>
          <w:pPr>
            <w:pStyle w:val="11"/>
            <w:ind w:left="360"/>
            <w:tabs>
              <w:tab w:val="right" w:leader="dot" w:pos="9026"/>
            </w:tabs>
            <w:spacing w:before="120" w:after="60"/>
          </w:pPr>
          <w:hyperlink w:anchor="_Toc100027" w:history="1">
            <w:r>
              <w:rPr>
                <w:rStyle w:val="Hyperlink"/>
              </w:rPr>
              <w:t>8.4 Benchmarking Dataset (Consortium Clarification 4)</w:t>
            </w:r>
            <w:r>
              <w:tab/>
            </w:r>
            <w:r>
              <w:fldChar w:fldCharType="begin"/>
            </w:r>
            <w:r>
              <w:instrText xml:space="preserve"> PAGEREF _Toc100027 \h </w:instrText>
            </w:r>
            <w:r>
              <w:fldChar w:fldCharType="separate"/>
            </w:r>
            <w:r>
              <w:t>9</w:t>
            </w:r>
            <w:r>
              <w:fldChar w:fldCharType="end"/>
            </w:r>
          </w:hyperlink>
        </w:p>
        <w:p>
          <w:r>
            <w:fldChar w:fldCharType="end"/>
          </w:r>
        </w:p>
      </w:sdtContent>
    </w:sdt>
    <w:p>
      <w:pPr>
        <w:spacing w:before="200"/>
      </w:pPr>
      <w:r>
        <w:rPr>
          <w:i/>
          <w:iCs/>
          <w:color w:val="888888"/>
          <w:sz w:val="18"/>
          <w:szCs w:val="18"/>
        </w:rPr>
        <w:t xml:space="preserve">Note: This Table of Contents is generated via field codes. To ensure page number accuracy after editing, please right-click the TOC and select "Update Field."</w:t>
      </w:r>
    </w:p>
    <w:p>
      <w:r>
        <w:br w:type="page"/>
      </w:r>
    </w:p>
    <w:p>
      <w:pPr>
        <w:sectPr>
          <w:footerReference w:type="default" r:id="rId7"/>
          <w:type w:val="nextPage"/>
          <w:pgSz w:w="11906" w:h="16838" w:orient="portrait"/>
          <w:pgMar w:top="1440" w:right="1417" w:bottom="1440" w:left="1701" w:header="708" w:footer="708" w:gutter="0"/>
          <w:pgNumType w:start="1" w:fmt="upperRoman"/>
          <w:docGrid w:linePitch="360"/>
        </w:sectPr>
      </w:pPr>
    </w:p>
    <w:p>
      <w:pPr>
        <w:pStyle w:val="Heading1"/>
        <w:spacing w:after="120" w:before="360" w:line="312"/>
      </w:pPr>
      <w:bookmarkStart w:id="100000" w:name="_Toc100000"/>
      <w:r>
        <w:rPr>
          <w:rFonts w:ascii="Times New Roman" w:eastAsia="SimHei"/>
          <w:b/>
          <w:bCs/>
          <w:color w:val="182030"/>
        </w:rPr>
        <w:t xml:space="preserve">1. Checklist Purpose</w:t>
      </w:r>
      <w:bookmarkEnd w:id="100000"/>
    </w:p>
    <w:p>
      <w:pPr>
        <w:spacing w:after="80" w:line="312"/>
        <w:ind w:firstLine="480"/>
        <w:jc w:val="both"/>
      </w:pPr>
      <w:r>
        <w:rPr>
          <w:rFonts w:ascii="Times New Roman" w:eastAsia="SimSun"/>
          <w:color w:val="182030"/>
          <w:sz w:val="24"/>
          <w:szCs w:val="24"/>
        </w:rPr>
        <w:t xml:space="preserve">This checklist governs the security review and tenant approval process for all platforms, services, and tools used in the Aceli LAT production build. Per the RFP, any additional application runtime, middleware, storage, queue, mobile/web framework, observability stack, transcription component, or integration platform must pass Aceli information security review and be added to the approved list before contract execution if vendor-provided. This checklist ensures that no unapproved component enters the production build pipeline. This updated version incorporates clarifications received from the Aceli consortium regarding confirmed platforms, licensing structures, and operating conditions.</w:t>
      </w:r>
    </w:p>
    <w:p>
      <w:pPr>
        <w:pStyle w:val="Heading1"/>
        <w:spacing w:after="120" w:before="360" w:line="312"/>
      </w:pPr>
      <w:bookmarkStart w:id="100001" w:name="_Toc100001"/>
      <w:r>
        <w:rPr>
          <w:rFonts w:ascii="Times New Roman" w:eastAsia="SimHei"/>
          <w:b/>
          <w:bCs/>
          <w:color w:val="182030"/>
        </w:rPr>
        <w:t xml:space="preserve">2. Mandatory Enterprise Platforms (Pre-Approved)</w:t>
      </w:r>
      <w:bookmarkEnd w:id="100001"/>
    </w:p>
    <w:p>
      <w:pPr>
        <w:spacing w:after="80" w:line="312"/>
        <w:ind w:firstLine="480"/>
        <w:jc w:val="both"/>
      </w:pPr>
      <w:r>
        <w:rPr>
          <w:rFonts w:ascii="Times New Roman" w:eastAsia="SimSun"/>
          <w:color w:val="182030"/>
          <w:sz w:val="24"/>
          <w:szCs w:val="24"/>
        </w:rPr>
        <w:t xml:space="preserve">The following enterprise platforms are pre-approved for use in the Aceli LAT production build, subject to the conditions specified below. Each platform must operate within its designated Aceli-approved tenant and must not exceed its approved scope.</w:t>
      </w:r>
    </w:p>
    <w:tbl>
      <w:tblPr>
        <w:tblW w:type="pct" w:w="100%"/>
        <w:tblBorders>
          <w:top w:val="single" w:color="D4875A" w:sz="1"/>
          <w:left w:val="single" w:color="D4875A" w:sz="1"/>
          <w:bottom w:val="single" w:color="D4875A" w:sz="1"/>
          <w:right w:val="single" w:color="D4875A" w:sz="1"/>
          <w:insideH w:val="single" w:color="DDD0C8" w:sz="1"/>
          <w:insideV w:val="single" w:color="DDD0C8" w:sz="1"/>
        </w:tblBorders>
      </w:tblPr>
      <w:tblGrid>
        <w:gridCol w:w="100"/>
        <w:gridCol w:w="100"/>
        <w:gridCol w:w="100"/>
        <w:gridCol w:w="100"/>
      </w:tblGrid>
      <w:tr>
        <w:trPr>
          <w:tblHeader/>
        </w:trPr>
        <w:tc>
          <w:tcPr>
            <w:tcW w:type="pct" w:w="20%"/>
            <w:tcBorders>
              <w:top w:val="single" w:color="D4875A" w:sz="1"/>
              <w:left w:val="single" w:color="D4875A" w:sz="1"/>
              <w:bottom w:val="single" w:color="D4875A" w:sz="1"/>
              <w:right w:val="single" w:color="D4875A" w:sz="1"/>
            </w:tcBorders>
            <w:shd w:fill="D4875A" w:val="clear"/>
          </w:tcPr>
          <w:p>
            <w:pPr>
              <w:spacing w:after="40" w:before="40" w:line="312"/>
            </w:pPr>
            <w:r>
              <w:rPr>
                <w:rFonts w:ascii="Times New Roman" w:eastAsia="SimHei"/>
                <w:b/>
                <w:bCs/>
                <w:color w:val="FFFFFF"/>
                <w:sz w:val="22"/>
                <w:szCs w:val="22"/>
              </w:rPr>
              <w:t xml:space="preserve">Platform</w:t>
            </w:r>
          </w:p>
        </w:tc>
        <w:tc>
          <w:tcPr>
            <w:tcW w:type="pct" w:w="30%"/>
            <w:tcBorders>
              <w:top w:val="single" w:color="D4875A" w:sz="1"/>
              <w:left w:val="single" w:color="D4875A" w:sz="1"/>
              <w:bottom w:val="single" w:color="D4875A" w:sz="1"/>
              <w:right w:val="single" w:color="D4875A" w:sz="1"/>
            </w:tcBorders>
            <w:shd w:fill="D4875A" w:val="clear"/>
          </w:tcPr>
          <w:p>
            <w:pPr>
              <w:spacing w:after="40" w:before="40" w:line="312"/>
            </w:pPr>
            <w:r>
              <w:rPr>
                <w:rFonts w:ascii="Times New Roman" w:eastAsia="SimHei"/>
                <w:b/>
                <w:bCs/>
                <w:color w:val="FFFFFF"/>
                <w:sz w:val="22"/>
                <w:szCs w:val="22"/>
              </w:rPr>
              <w:t xml:space="preserve">Purpose</w:t>
            </w:r>
          </w:p>
        </w:tc>
        <w:tc>
          <w:tcPr>
            <w:tcW w:type="pct" w:w="15%"/>
            <w:tcBorders>
              <w:top w:val="single" w:color="D4875A" w:sz="1"/>
              <w:left w:val="single" w:color="D4875A" w:sz="1"/>
              <w:bottom w:val="single" w:color="D4875A" w:sz="1"/>
              <w:right w:val="single" w:color="D4875A" w:sz="1"/>
            </w:tcBorders>
            <w:shd w:fill="D4875A" w:val="clear"/>
          </w:tcPr>
          <w:p>
            <w:pPr>
              <w:spacing w:after="40" w:before="40" w:line="312"/>
            </w:pPr>
            <w:r>
              <w:rPr>
                <w:rFonts w:ascii="Times New Roman" w:eastAsia="SimHei"/>
                <w:b/>
                <w:bCs/>
                <w:color w:val="FFFFFF"/>
                <w:sz w:val="22"/>
                <w:szCs w:val="22"/>
              </w:rPr>
              <w:t xml:space="preserve">Approval Status</w:t>
            </w:r>
          </w:p>
        </w:tc>
        <w:tc>
          <w:tcPr>
            <w:tcW w:type="pct" w:w="35%"/>
            <w:tcBorders>
              <w:top w:val="single" w:color="D4875A" w:sz="1"/>
              <w:left w:val="single" w:color="D4875A" w:sz="1"/>
              <w:bottom w:val="single" w:color="D4875A" w:sz="1"/>
              <w:right w:val="single" w:color="D4875A" w:sz="1"/>
            </w:tcBorders>
            <w:shd w:fill="D4875A" w:val="clear"/>
          </w:tcPr>
          <w:p>
            <w:pPr>
              <w:spacing w:after="40" w:before="40" w:line="312"/>
            </w:pPr>
            <w:r>
              <w:rPr>
                <w:rFonts w:ascii="Times New Roman" w:eastAsia="SimHei"/>
                <w:b/>
                <w:bCs/>
                <w:color w:val="FFFFFF"/>
                <w:sz w:val="22"/>
                <w:szCs w:val="22"/>
              </w:rPr>
              <w:t xml:space="preserve">Conditions</w:t>
            </w:r>
          </w:p>
        </w:tc>
      </w:tr>
      <w:tr>
        <w:trPr>
          <w:cantSplit/>
        </w:trPr>
        <w:tc>
          <w:tcPr>
            <w:tcW w:type="pct" w:w="20%"/>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Salesforce Enterprise Edition</w:t>
            </w:r>
          </w:p>
        </w:tc>
        <w:tc>
          <w:tcPr>
            <w:tcW w:type="pct" w:w="30%"/>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System of record for lender relationship data with custom objects; API integration target</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Pre-Approved</w:t>
            </w:r>
          </w:p>
        </w:tc>
        <w:tc>
          <w:tcPr>
            <w:tcW w:type="pct" w:w="3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Must operate within Aceli Salesforce tenant; Aceli internal Salesforce team supports configuration, integration, workflow, and data model enhancements collaboratively; Salesforce sandbox available for development and testing</w:t>
            </w:r>
          </w:p>
        </w:tc>
      </w:tr>
      <w:tr>
        <w:trPr>
          <w:cantSplit/>
        </w:trPr>
        <w:tc>
          <w:tcPr>
            <w:tcW w:type="pct" w:w="20%"/>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Power BI</w:t>
            </w:r>
          </w:p>
        </w:tc>
        <w:tc>
          <w:tcPr>
            <w:tcW w:type="pct" w:w="30%"/>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Reporting, analytics, visualization layer; reads from Salesforce via standard connector alongside controlled data sources</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Pre-Approved</w:t>
            </w:r>
          </w:p>
        </w:tc>
        <w:tc>
          <w:tcPr>
            <w:tcW w:type="pct" w:w="3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Must not become operational system of record or data capture tool; existing benchmarking dataset of ~60K records connected via Google Sheets sources must flow through controlled pathways</w:t>
            </w:r>
          </w:p>
        </w:tc>
      </w:tr>
      <w:tr>
        <w:trPr>
          <w:cantSplit/>
        </w:trPr>
        <w:tc>
          <w:tcPr>
            <w:tcW w:type="pct" w:w="20%"/>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Google Workspace</w:t>
            </w:r>
          </w:p>
        </w:tc>
        <w:tc>
          <w:tcPr>
            <w:tcW w:type="pct" w:w="30%"/>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Collaboration, document operations where applicable</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Pre-Approved</w:t>
            </w:r>
          </w:p>
        </w:tc>
        <w:tc>
          <w:tcPr>
            <w:tcW w:type="pct" w:w="3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Must operate within Aceli-approved enterprise tenant; current LAT tooling resides in Google Sheets and will be migrated to the governed platform</w:t>
            </w:r>
          </w:p>
        </w:tc>
      </w:tr>
      <w:tr>
        <w:trPr>
          <w:cantSplit/>
        </w:trPr>
        <w:tc>
          <w:tcPr>
            <w:tcW w:type="pct" w:w="20%"/>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Claude Team / Enterprise via Claude for Nonprofits</w:t>
            </w:r>
          </w:p>
        </w:tc>
        <w:tc>
          <w:tcPr>
            <w:tcW w:type="pct" w:w="30%"/>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Governed AI processing for transcription, extraction, summarization, and prompt orchestration</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Pre-Approved</w:t>
            </w:r>
          </w:p>
        </w:tc>
        <w:tc>
          <w:tcPr>
            <w:tcW w:type="pct" w:w="3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Must operate within Aceli-approved enterprise tenant; production LLM processing involving sensitive programme data must occur within approved enterprise environments; no data used for model training or fine-tuning; ongoing platform licensing costs managed separately from the capped implementation budget; Aceli operates within the Claude for Nonprofits programme</w:t>
            </w:r>
          </w:p>
        </w:tc>
      </w:tr>
    </w:tbl>
    <w:p>
      <w:pPr>
        <w:pStyle w:val="Heading1"/>
        <w:spacing w:after="120" w:before="360" w:line="312"/>
      </w:pPr>
      <w:bookmarkStart w:id="100002" w:name="_Toc100002"/>
      <w:r>
        <w:rPr>
          <w:rFonts w:ascii="Times New Roman" w:eastAsia="SimHei"/>
          <w:b/>
          <w:bCs/>
          <w:color w:val="182030"/>
        </w:rPr>
        <w:t xml:space="preserve">3. Components Requiring Security Review</w:t>
      </w:r>
      <w:bookmarkEnd w:id="100002"/>
    </w:p>
    <w:p>
      <w:pPr>
        <w:spacing w:after="80" w:line="312"/>
        <w:ind w:firstLine="480"/>
        <w:jc w:val="both"/>
      </w:pPr>
      <w:r>
        <w:rPr>
          <w:rFonts w:ascii="Times New Roman" w:eastAsia="SimSun"/>
          <w:color w:val="182030"/>
          <w:sz w:val="24"/>
          <w:szCs w:val="24"/>
        </w:rPr>
        <w:t xml:space="preserve">All components not listed in Section 2 as pre-approved must undergo a formal security review before being introduced into the production build. The table below identifies each component category, provides examples, and specifies the review authority and approval timeline.</w:t>
      </w:r>
    </w:p>
    <w:tbl>
      <w:tblPr>
        <w:tblW w:type="pct" w:w="100%"/>
        <w:tblBorders>
          <w:top w:val="single" w:color="D4875A" w:sz="1"/>
          <w:left w:val="single" w:color="D4875A" w:sz="1"/>
          <w:bottom w:val="single" w:color="D4875A" w:sz="1"/>
          <w:right w:val="single" w:color="D4875A" w:sz="1"/>
          <w:insideH w:val="single" w:color="DDD0C8" w:sz="1"/>
          <w:insideV w:val="single" w:color="DDD0C8" w:sz="1"/>
        </w:tblBorders>
      </w:tblPr>
      <w:tblGrid>
        <w:gridCol w:w="100"/>
        <w:gridCol w:w="100"/>
        <w:gridCol w:w="100"/>
        <w:gridCol w:w="100"/>
        <w:gridCol w:w="100"/>
      </w:tblGrid>
      <w:tr>
        <w:trPr>
          <w:tblHeader/>
        </w:trPr>
        <w:tc>
          <w:tcPr>
            <w:tcW w:type="pct" w:w="18%"/>
            <w:tcBorders>
              <w:top w:val="single" w:color="D4875A" w:sz="1"/>
              <w:left w:val="single" w:color="D4875A" w:sz="1"/>
              <w:bottom w:val="single" w:color="D4875A" w:sz="1"/>
              <w:right w:val="single" w:color="D4875A" w:sz="1"/>
            </w:tcBorders>
            <w:shd w:fill="D4875A" w:val="clear"/>
          </w:tcPr>
          <w:p>
            <w:pPr>
              <w:spacing w:after="40" w:before="40" w:line="312"/>
            </w:pPr>
            <w:r>
              <w:rPr>
                <w:rFonts w:ascii="Times New Roman" w:eastAsia="SimHei"/>
                <w:b/>
                <w:bCs/>
                <w:color w:val="FFFFFF"/>
                <w:sz w:val="22"/>
                <w:szCs w:val="22"/>
              </w:rPr>
              <w:t xml:space="preserve">Component Category</w:t>
            </w:r>
          </w:p>
        </w:tc>
        <w:tc>
          <w:tcPr>
            <w:tcW w:type="pct" w:w="22%"/>
            <w:tcBorders>
              <w:top w:val="single" w:color="D4875A" w:sz="1"/>
              <w:left w:val="single" w:color="D4875A" w:sz="1"/>
              <w:bottom w:val="single" w:color="D4875A" w:sz="1"/>
              <w:right w:val="single" w:color="D4875A" w:sz="1"/>
            </w:tcBorders>
            <w:shd w:fill="D4875A" w:val="clear"/>
          </w:tcPr>
          <w:p>
            <w:pPr>
              <w:spacing w:after="40" w:before="40" w:line="312"/>
            </w:pPr>
            <w:r>
              <w:rPr>
                <w:rFonts w:ascii="Times New Roman" w:eastAsia="SimHei"/>
                <w:b/>
                <w:bCs/>
                <w:color w:val="FFFFFF"/>
                <w:sz w:val="22"/>
                <w:szCs w:val="22"/>
              </w:rPr>
              <w:t xml:space="preserve">Examples</w:t>
            </w:r>
          </w:p>
        </w:tc>
        <w:tc>
          <w:tcPr>
            <w:tcW w:type="pct" w:w="12%"/>
            <w:tcBorders>
              <w:top w:val="single" w:color="D4875A" w:sz="1"/>
              <w:left w:val="single" w:color="D4875A" w:sz="1"/>
              <w:bottom w:val="single" w:color="D4875A" w:sz="1"/>
              <w:right w:val="single" w:color="D4875A" w:sz="1"/>
            </w:tcBorders>
            <w:shd w:fill="D4875A" w:val="clear"/>
          </w:tcPr>
          <w:p>
            <w:pPr>
              <w:spacing w:after="40" w:before="40" w:line="312"/>
            </w:pPr>
            <w:r>
              <w:rPr>
                <w:rFonts w:ascii="Times New Roman" w:eastAsia="SimHei"/>
                <w:b/>
                <w:bCs/>
                <w:color w:val="FFFFFF"/>
                <w:sz w:val="22"/>
                <w:szCs w:val="22"/>
              </w:rPr>
              <w:t xml:space="preserve">Review Required</w:t>
            </w:r>
          </w:p>
        </w:tc>
        <w:tc>
          <w:tcPr>
            <w:tcW w:type="pct" w:w="28%"/>
            <w:tcBorders>
              <w:top w:val="single" w:color="D4875A" w:sz="1"/>
              <w:left w:val="single" w:color="D4875A" w:sz="1"/>
              <w:bottom w:val="single" w:color="D4875A" w:sz="1"/>
              <w:right w:val="single" w:color="D4875A" w:sz="1"/>
            </w:tcBorders>
            <w:shd w:fill="D4875A" w:val="clear"/>
          </w:tcPr>
          <w:p>
            <w:pPr>
              <w:spacing w:after="40" w:before="40" w:line="312"/>
            </w:pPr>
            <w:r>
              <w:rPr>
                <w:rFonts w:ascii="Times New Roman" w:eastAsia="SimHei"/>
                <w:b/>
                <w:bCs/>
                <w:color w:val="FFFFFF"/>
                <w:sz w:val="22"/>
                <w:szCs w:val="22"/>
              </w:rPr>
              <w:t xml:space="preserve">Review Authority</w:t>
            </w:r>
          </w:p>
        </w:tc>
        <w:tc>
          <w:tcPr>
            <w:tcW w:type="pct" w:w="20%"/>
            <w:tcBorders>
              <w:top w:val="single" w:color="D4875A" w:sz="1"/>
              <w:left w:val="single" w:color="D4875A" w:sz="1"/>
              <w:bottom w:val="single" w:color="D4875A" w:sz="1"/>
              <w:right w:val="single" w:color="D4875A" w:sz="1"/>
            </w:tcBorders>
            <w:shd w:fill="D4875A" w:val="clear"/>
          </w:tcPr>
          <w:p>
            <w:pPr>
              <w:spacing w:after="40" w:before="40" w:line="312"/>
            </w:pPr>
            <w:r>
              <w:rPr>
                <w:rFonts w:ascii="Times New Roman" w:eastAsia="SimHei"/>
                <w:b/>
                <w:bCs/>
                <w:color w:val="FFFFFF"/>
                <w:sz w:val="22"/>
                <w:szCs w:val="22"/>
              </w:rPr>
              <w:t xml:space="preserve">Approval Timeline</w:t>
            </w:r>
          </w:p>
        </w:tc>
      </w:tr>
      <w:tr>
        <w:trPr>
          <w:cantSplit/>
        </w:trPr>
        <w:tc>
          <w:tcPr>
            <w:tcW w:type="pct" w:w="18%"/>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Application Runtime</w:t>
            </w:r>
          </w:p>
        </w:tc>
        <w:tc>
          <w:tcPr>
            <w:tcW w:type="pct" w:w="22%"/>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Node.js, Python, Java</w:t>
            </w:r>
          </w:p>
        </w:tc>
        <w:tc>
          <w:tcPr>
            <w:tcW w:type="pct" w:w="12%"/>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Yes</w:t>
            </w:r>
          </w:p>
        </w:tc>
        <w:tc>
          <w:tcPr>
            <w:tcW w:type="pct" w:w="28%"/>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DevSecOps + Red Team</w:t>
            </w:r>
          </w:p>
        </w:tc>
        <w:tc>
          <w:tcPr>
            <w:tcW w:type="pct" w:w="20%"/>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Sprint 0-1</w:t>
            </w:r>
          </w:p>
        </w:tc>
      </w:tr>
      <w:tr>
        <w:trPr>
          <w:cantSplit/>
        </w:trPr>
        <w:tc>
          <w:tcPr>
            <w:tcW w:type="pct" w:w="18%"/>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Database/Storage</w:t>
            </w:r>
          </w:p>
        </w:tc>
        <w:tc>
          <w:tcPr>
            <w:tcW w:type="pct" w:w="22%"/>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PostgreSQL, Redis, S3-equivalent</w:t>
            </w:r>
          </w:p>
        </w:tc>
        <w:tc>
          <w:tcPr>
            <w:tcW w:type="pct" w:w="12%"/>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Yes</w:t>
            </w:r>
          </w:p>
        </w:tc>
        <w:tc>
          <w:tcPr>
            <w:tcW w:type="pct" w:w="28%"/>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DevSecOps + Red Team</w:t>
            </w:r>
          </w:p>
        </w:tc>
        <w:tc>
          <w:tcPr>
            <w:tcW w:type="pct" w:w="20%"/>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Sprint 0-1</w:t>
            </w:r>
          </w:p>
        </w:tc>
      </w:tr>
      <w:tr>
        <w:trPr>
          <w:cantSplit/>
        </w:trPr>
        <w:tc>
          <w:tcPr>
            <w:tcW w:type="pct" w:w="18%"/>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Message Queue</w:t>
            </w:r>
          </w:p>
        </w:tc>
        <w:tc>
          <w:tcPr>
            <w:tcW w:type="pct" w:w="22%"/>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Kafka, RabbitMQ, SQS-equivalent</w:t>
            </w:r>
          </w:p>
        </w:tc>
        <w:tc>
          <w:tcPr>
            <w:tcW w:type="pct" w:w="12%"/>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Yes</w:t>
            </w:r>
          </w:p>
        </w:tc>
        <w:tc>
          <w:tcPr>
            <w:tcW w:type="pct" w:w="28%"/>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DevSecOps + Red Team</w:t>
            </w:r>
          </w:p>
        </w:tc>
        <w:tc>
          <w:tcPr>
            <w:tcW w:type="pct" w:w="20%"/>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Sprint 0-1</w:t>
            </w:r>
          </w:p>
        </w:tc>
      </w:tr>
      <w:tr>
        <w:trPr>
          <w:cantSplit/>
        </w:trPr>
        <w:tc>
          <w:tcPr>
            <w:tcW w:type="pct" w:w="18%"/>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Mobile/Web Framework</w:t>
            </w:r>
          </w:p>
        </w:tc>
        <w:tc>
          <w:tcPr>
            <w:tcW w:type="pct" w:w="22%"/>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Next.js, React, PWA tooling</w:t>
            </w:r>
          </w:p>
        </w:tc>
        <w:tc>
          <w:tcPr>
            <w:tcW w:type="pct" w:w="12%"/>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Yes</w:t>
            </w:r>
          </w:p>
        </w:tc>
        <w:tc>
          <w:tcPr>
            <w:tcW w:type="pct" w:w="28%"/>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DevSecOps + Red Team</w:t>
            </w:r>
          </w:p>
        </w:tc>
        <w:tc>
          <w:tcPr>
            <w:tcW w:type="pct" w:w="20%"/>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Sprint 0-1</w:t>
            </w:r>
          </w:p>
        </w:tc>
      </w:tr>
      <w:tr>
        <w:trPr>
          <w:cantSplit/>
        </w:trPr>
        <w:tc>
          <w:tcPr>
            <w:tcW w:type="pct" w:w="18%"/>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Observability Stack</w:t>
            </w:r>
          </w:p>
        </w:tc>
        <w:tc>
          <w:tcPr>
            <w:tcW w:type="pct" w:w="22%"/>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Logging, monitoring, tracing tools</w:t>
            </w:r>
          </w:p>
        </w:tc>
        <w:tc>
          <w:tcPr>
            <w:tcW w:type="pct" w:w="12%"/>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Yes</w:t>
            </w:r>
          </w:p>
        </w:tc>
        <w:tc>
          <w:tcPr>
            <w:tcW w:type="pct" w:w="28%"/>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DevSecOps + Red Team</w:t>
            </w:r>
          </w:p>
        </w:tc>
        <w:tc>
          <w:tcPr>
            <w:tcW w:type="pct" w:w="20%"/>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Sprint 0-1</w:t>
            </w:r>
          </w:p>
        </w:tc>
      </w:tr>
      <w:tr>
        <w:trPr>
          <w:cantSplit/>
        </w:trPr>
        <w:tc>
          <w:tcPr>
            <w:tcW w:type="pct" w:w="18%"/>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Transcription Service</w:t>
            </w:r>
          </w:p>
        </w:tc>
        <w:tc>
          <w:tcPr>
            <w:tcW w:type="pct" w:w="22%"/>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Speech-to-text with regional accent and limited multilingual support</w:t>
            </w:r>
          </w:p>
        </w:tc>
        <w:tc>
          <w:tcPr>
            <w:tcW w:type="pct" w:w="12%"/>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Yes</w:t>
            </w:r>
          </w:p>
        </w:tc>
        <w:tc>
          <w:tcPr>
            <w:tcW w:type="pct" w:w="28%"/>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DevSecOps + Red Team + Architect</w:t>
            </w:r>
          </w:p>
        </w:tc>
        <w:tc>
          <w:tcPr>
            <w:tcW w:type="pct" w:w="20%"/>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Sprint 0-1</w:t>
            </w:r>
          </w:p>
        </w:tc>
      </w:tr>
      <w:tr>
        <w:trPr>
          <w:cantSplit/>
        </w:trPr>
        <w:tc>
          <w:tcPr>
            <w:tcW w:type="pct" w:w="18%"/>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Integration Platform</w:t>
            </w:r>
          </w:p>
        </w:tc>
        <w:tc>
          <w:tcPr>
            <w:tcW w:type="pct" w:w="22%"/>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API gateway, ESB</w:t>
            </w:r>
          </w:p>
        </w:tc>
        <w:tc>
          <w:tcPr>
            <w:tcW w:type="pct" w:w="12%"/>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Yes</w:t>
            </w:r>
          </w:p>
        </w:tc>
        <w:tc>
          <w:tcPr>
            <w:tcW w:type="pct" w:w="28%"/>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DevSecOps + Red Team</w:t>
            </w:r>
          </w:p>
        </w:tc>
        <w:tc>
          <w:tcPr>
            <w:tcW w:type="pct" w:w="20%"/>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Sprint 0-1</w:t>
            </w:r>
          </w:p>
        </w:tc>
      </w:tr>
      <w:tr>
        <w:trPr>
          <w:cantSplit/>
        </w:trPr>
        <w:tc>
          <w:tcPr>
            <w:tcW w:type="pct" w:w="18%"/>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Identity Provider</w:t>
            </w:r>
          </w:p>
        </w:tc>
        <w:tc>
          <w:tcPr>
            <w:tcW w:type="pct" w:w="22%"/>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SSO, OAuth, MFA</w:t>
            </w:r>
          </w:p>
        </w:tc>
        <w:tc>
          <w:tcPr>
            <w:tcW w:type="pct" w:w="12%"/>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Yes</w:t>
            </w:r>
          </w:p>
        </w:tc>
        <w:tc>
          <w:tcPr>
            <w:tcW w:type="pct" w:w="28%"/>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DevSecOps + Red Team</w:t>
            </w:r>
          </w:p>
        </w:tc>
        <w:tc>
          <w:tcPr>
            <w:tcW w:type="pct" w:w="20%"/>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Sprint 0-1</w:t>
            </w:r>
          </w:p>
        </w:tc>
      </w:tr>
    </w:tbl>
    <w:p>
      <w:pPr>
        <w:pStyle w:val="Heading1"/>
        <w:spacing w:after="120" w:before="360" w:line="312"/>
      </w:pPr>
      <w:bookmarkStart w:id="100003" w:name="_Toc100003"/>
      <w:r>
        <w:rPr>
          <w:rFonts w:ascii="Times New Roman" w:eastAsia="SimHei"/>
          <w:b/>
          <w:bCs/>
          <w:color w:val="182030"/>
        </w:rPr>
        <w:t xml:space="preserve">4. Security Review Criteria</w:t>
      </w:r>
      <w:bookmarkEnd w:id="100003"/>
    </w:p>
    <w:p>
      <w:pPr>
        <w:spacing w:after="80" w:line="312"/>
        <w:ind w:firstLine="480"/>
        <w:jc w:val="both"/>
      </w:pPr>
      <w:r>
        <w:rPr>
          <w:rFonts w:ascii="Times New Roman" w:eastAsia="SimSun"/>
          <w:color w:val="182030"/>
          <w:sz w:val="24"/>
          <w:szCs w:val="24"/>
        </w:rPr>
        <w:t xml:space="preserve">Each component must be evaluated against the following criteria. A component fails review if it does not satisfy all applicable criteria, or if any criterion is rated as unacceptable risk without a documented mitigation plan.</w:t>
      </w:r>
    </w:p>
    <w:p>
      <w:pPr>
        <w:pStyle w:val="Heading2"/>
        <w:spacing w:after="120" w:before="240" w:line="312"/>
      </w:pPr>
      <w:bookmarkStart w:id="100004" w:name="_Toc100004"/>
      <w:r>
        <w:rPr>
          <w:rFonts w:ascii="Times New Roman" w:eastAsia="SimHei"/>
          <w:b/>
          <w:bCs/>
          <w:color w:val="182030"/>
        </w:rPr>
        <w:t xml:space="preserve">4.1 Data Residency Compliance</w:t>
      </w:r>
      <w:bookmarkEnd w:id="100004"/>
    </w:p>
    <w:p>
      <w:pPr>
        <w:spacing w:after="80" w:line="312"/>
        <w:ind w:firstLine="480"/>
        <w:jc w:val="both"/>
      </w:pPr>
      <w:r>
        <w:rPr>
          <w:rFonts w:ascii="Times New Roman" w:eastAsia="SimSun"/>
          <w:color w:val="182030"/>
          <w:sz w:val="24"/>
          <w:szCs w:val="24"/>
        </w:rPr>
        <w:t xml:space="preserve">Does the component process or store data in approved jurisdictions? Does it comply with Aceli data residency requirements?</w:t>
      </w:r>
    </w:p>
    <w:p>
      <w:pPr>
        <w:pStyle w:val="Heading2"/>
        <w:spacing w:after="120" w:before="240" w:line="312"/>
      </w:pPr>
      <w:bookmarkStart w:id="100005" w:name="_Toc100005"/>
      <w:r>
        <w:rPr>
          <w:rFonts w:ascii="Times New Roman" w:eastAsia="SimHei"/>
          <w:b/>
          <w:bCs/>
          <w:color w:val="182030"/>
        </w:rPr>
        <w:t xml:space="preserve">4.2 Tenant Isolation</w:t>
      </w:r>
      <w:bookmarkEnd w:id="100005"/>
    </w:p>
    <w:p>
      <w:pPr>
        <w:spacing w:after="80" w:line="312"/>
        <w:ind w:firstLine="480"/>
        <w:jc w:val="both"/>
      </w:pPr>
      <w:r>
        <w:rPr>
          <w:rFonts w:ascii="Times New Roman" w:eastAsia="SimSun"/>
          <w:color w:val="182030"/>
          <w:sz w:val="24"/>
          <w:szCs w:val="24"/>
        </w:rPr>
        <w:t xml:space="preserve">Does the component operate within an Aceli-approved enterprise tenant? Is there risk of cross-tenant data exposure?</w:t>
      </w:r>
    </w:p>
    <w:p>
      <w:pPr>
        <w:pStyle w:val="Heading2"/>
        <w:spacing w:after="120" w:before="240" w:line="312"/>
      </w:pPr>
      <w:bookmarkStart w:id="100006" w:name="_Toc100006"/>
      <w:r>
        <w:rPr>
          <w:rFonts w:ascii="Times New Roman" w:eastAsia="SimHei"/>
          <w:b/>
          <w:bCs/>
          <w:color w:val="182030"/>
        </w:rPr>
        <w:t xml:space="preserve">4.3 Training Data Exclusion</w:t>
      </w:r>
      <w:bookmarkEnd w:id="100006"/>
    </w:p>
    <w:p>
      <w:pPr>
        <w:spacing w:after="80" w:line="312"/>
        <w:ind w:firstLine="480"/>
        <w:jc w:val="both"/>
      </w:pPr>
      <w:r>
        <w:rPr>
          <w:rFonts w:ascii="Times New Roman" w:eastAsia="SimSun"/>
          <w:color w:val="182030"/>
          <w:sz w:val="24"/>
          <w:szCs w:val="24"/>
        </w:rPr>
        <w:t xml:space="preserve">Does the component use input data for model training or fine-tuning? Can training be explicitly opted out? This is especially critical for AI transcription services that process field conversations containing lender-sensitive information.</w:t>
      </w:r>
    </w:p>
    <w:p>
      <w:pPr>
        <w:pStyle w:val="Heading2"/>
        <w:spacing w:after="120" w:before="240" w:line="312"/>
      </w:pPr>
      <w:bookmarkStart w:id="100007" w:name="_Toc100007"/>
      <w:r>
        <w:rPr>
          <w:rFonts w:ascii="Times New Roman" w:eastAsia="SimHei"/>
          <w:b/>
          <w:bCs/>
          <w:color w:val="182030"/>
        </w:rPr>
        <w:t xml:space="preserve">4.4 Audit and Logging Capability</w:t>
      </w:r>
      <w:bookmarkEnd w:id="100007"/>
    </w:p>
    <w:p>
      <w:pPr>
        <w:spacing w:after="80" w:line="312"/>
        <w:ind w:firstLine="480"/>
        <w:jc w:val="both"/>
      </w:pPr>
      <w:r>
        <w:rPr>
          <w:rFonts w:ascii="Times New Roman" w:eastAsia="SimSun"/>
          <w:color w:val="182030"/>
          <w:sz w:val="24"/>
          <w:szCs w:val="24"/>
        </w:rPr>
        <w:t xml:space="preserve">Does the component produce audit logs? Are logs exportable and immutable?</w:t>
      </w:r>
    </w:p>
    <w:p>
      <w:pPr>
        <w:pStyle w:val="Heading2"/>
        <w:spacing w:after="120" w:before="240" w:line="312"/>
      </w:pPr>
      <w:bookmarkStart w:id="100008" w:name="_Toc100008"/>
      <w:r>
        <w:rPr>
          <w:rFonts w:ascii="Times New Roman" w:eastAsia="SimHei"/>
          <w:b/>
          <w:bCs/>
          <w:color w:val="182030"/>
        </w:rPr>
        <w:t xml:space="preserve">4.5 Access Control</w:t>
      </w:r>
      <w:bookmarkEnd w:id="100008"/>
    </w:p>
    <w:p>
      <w:pPr>
        <w:spacing w:after="80" w:line="312"/>
        <w:ind w:firstLine="480"/>
        <w:jc w:val="both"/>
      </w:pPr>
      <w:r>
        <w:rPr>
          <w:rFonts w:ascii="Times New Roman" w:eastAsia="SimSun"/>
          <w:color w:val="182030"/>
          <w:sz w:val="24"/>
          <w:szCs w:val="24"/>
        </w:rPr>
        <w:t xml:space="preserve">Does the component support role-based access control? Can access be restricted to authorized personnel?</w:t>
      </w:r>
    </w:p>
    <w:p>
      <w:pPr>
        <w:pStyle w:val="Heading2"/>
        <w:spacing w:after="120" w:before="240" w:line="312"/>
      </w:pPr>
      <w:bookmarkStart w:id="100009" w:name="_Toc100009"/>
      <w:r>
        <w:rPr>
          <w:rFonts w:ascii="Times New Roman" w:eastAsia="SimHei"/>
          <w:b/>
          <w:bCs/>
          <w:color w:val="182030"/>
        </w:rPr>
        <w:t xml:space="preserve">4.6 Encryption</w:t>
      </w:r>
      <w:bookmarkEnd w:id="100009"/>
    </w:p>
    <w:p>
      <w:pPr>
        <w:spacing w:after="80" w:line="312"/>
        <w:ind w:firstLine="480"/>
        <w:jc w:val="both"/>
      </w:pPr>
      <w:r>
        <w:rPr>
          <w:rFonts w:ascii="Times New Roman" w:eastAsia="SimSun"/>
          <w:color w:val="182030"/>
          <w:sz w:val="24"/>
          <w:szCs w:val="24"/>
        </w:rPr>
        <w:t xml:space="preserve">Does the component encrypt data at rest and in transit? What encryption standards are used?</w:t>
      </w:r>
    </w:p>
    <w:p>
      <w:pPr>
        <w:pStyle w:val="Heading2"/>
        <w:spacing w:after="120" w:before="240" w:line="312"/>
      </w:pPr>
      <w:bookmarkStart w:id="100010" w:name="_Toc100010"/>
      <w:r>
        <w:rPr>
          <w:rFonts w:ascii="Times New Roman" w:eastAsia="SimHei"/>
          <w:b/>
          <w:bCs/>
          <w:color w:val="182030"/>
        </w:rPr>
        <w:t xml:space="preserve">4.7 Vulnerability Management</w:t>
      </w:r>
      <w:bookmarkEnd w:id="100010"/>
    </w:p>
    <w:p>
      <w:pPr>
        <w:spacing w:after="80" w:line="312"/>
        <w:ind w:firstLine="480"/>
        <w:jc w:val="both"/>
      </w:pPr>
      <w:r>
        <w:rPr>
          <w:rFonts w:ascii="Times New Roman" w:eastAsia="SimSun"/>
          <w:color w:val="182030"/>
          <w:sz w:val="24"/>
          <w:szCs w:val="24"/>
        </w:rPr>
        <w:t xml:space="preserve">Does the vendor provide timely security patches? What is the disclosure and remediation process?</w:t>
      </w:r>
    </w:p>
    <w:p>
      <w:pPr>
        <w:pStyle w:val="Heading2"/>
        <w:spacing w:after="120" w:before="240" w:line="312"/>
      </w:pPr>
      <w:bookmarkStart w:id="100011" w:name="_Toc100011"/>
      <w:r>
        <w:rPr>
          <w:rFonts w:ascii="Times New Roman" w:eastAsia="SimHei"/>
          <w:b/>
          <w:bCs/>
          <w:color w:val="182030"/>
        </w:rPr>
        <w:t xml:space="preserve">4.8 Business Continuity</w:t>
      </w:r>
      <w:bookmarkEnd w:id="100011"/>
    </w:p>
    <w:p>
      <w:pPr>
        <w:spacing w:after="80" w:line="312"/>
        <w:ind w:firstLine="480"/>
        <w:jc w:val="both"/>
      </w:pPr>
      <w:r>
        <w:rPr>
          <w:rFonts w:ascii="Times New Roman" w:eastAsia="SimSun"/>
          <w:color w:val="182030"/>
          <w:sz w:val="24"/>
          <w:szCs w:val="24"/>
        </w:rPr>
        <w:t xml:space="preserve">What is the vendor SLA for availability? Is there a disaster recovery plan?</w:t>
      </w:r>
    </w:p>
    <w:p>
      <w:pPr>
        <w:pStyle w:val="Heading2"/>
        <w:spacing w:after="120" w:before="240" w:line="312"/>
      </w:pPr>
      <w:bookmarkStart w:id="100012" w:name="_Toc100012"/>
      <w:r>
        <w:rPr>
          <w:rFonts w:ascii="Times New Roman" w:eastAsia="SimHei"/>
          <w:b/>
          <w:bCs/>
          <w:color w:val="182030"/>
        </w:rPr>
        <w:t xml:space="preserve">4.9 Budget Separation</w:t>
      </w:r>
      <w:bookmarkEnd w:id="100012"/>
    </w:p>
    <w:p>
      <w:pPr>
        <w:spacing w:after="80" w:line="312"/>
        <w:ind w:firstLine="480"/>
        <w:jc w:val="both"/>
      </w:pPr>
      <w:r>
        <w:rPr>
          <w:rFonts w:ascii="Times New Roman" w:eastAsia="SimSun"/>
          <w:color w:val="182030"/>
          <w:sz w:val="24"/>
          <w:szCs w:val="24"/>
        </w:rPr>
        <w:t xml:space="preserve">Are ongoing licensing costs clearly identified and separable from the implementation budget? Per Aceli consortium clarification, platform licensing costs are managed separately from the capped implementation budget.</w:t>
      </w:r>
    </w:p>
    <w:p>
      <w:pPr>
        <w:pStyle w:val="Heading1"/>
        <w:spacing w:after="120" w:before="360" w:line="312"/>
      </w:pPr>
      <w:bookmarkStart w:id="100013" w:name="_Toc100013"/>
      <w:r>
        <w:rPr>
          <w:rFonts w:ascii="Times New Roman" w:eastAsia="SimHei"/>
          <w:b/>
          <w:bCs/>
          <w:color w:val="182030"/>
        </w:rPr>
        <w:t xml:space="preserve">5. Tenant Approval Process</w:t>
      </w:r>
      <w:bookmarkEnd w:id="100013"/>
    </w:p>
    <w:p>
      <w:pPr>
        <w:spacing w:after="80" w:line="312"/>
        <w:ind w:firstLine="480"/>
        <w:jc w:val="both"/>
      </w:pPr>
      <w:r>
        <w:rPr>
          <w:rFonts w:ascii="Times New Roman" w:eastAsia="SimSun"/>
          <w:color w:val="182030"/>
          <w:sz w:val="24"/>
          <w:szCs w:val="24"/>
        </w:rPr>
        <w:t xml:space="preserve">The following seven-step process governs the approval of all components for use in the Aceli LAT production build. No component may enter the production pipeline without completing this process.</w:t>
      </w:r>
    </w:p>
    <w:p>
      <w:pPr>
        <w:pStyle w:val="Heading2"/>
        <w:spacing w:after="120" w:before="240" w:line="312"/>
      </w:pPr>
      <w:bookmarkStart w:id="100014" w:name="_Toc100014"/>
      <w:r>
        <w:rPr>
          <w:rFonts w:ascii="Times New Roman" w:eastAsia="SimHei"/>
          <w:b/>
          <w:bCs/>
          <w:color w:val="182030"/>
        </w:rPr>
        <w:t xml:space="preserve">5.1 Step 1: Component Identification</w:t>
      </w:r>
      <w:bookmarkEnd w:id="100014"/>
    </w:p>
    <w:p>
      <w:pPr>
        <w:spacing w:after="80" w:line="312"/>
        <w:ind w:firstLine="480"/>
        <w:jc w:val="both"/>
      </w:pPr>
      <w:r>
        <w:rPr>
          <w:rFonts w:ascii="Times New Roman" w:eastAsia="SimSun"/>
          <w:color w:val="182030"/>
          <w:sz w:val="24"/>
          <w:szCs w:val="24"/>
        </w:rPr>
        <w:t xml:space="preserve">Requesting agent identifies the component, version, and intended use; includes identification of any licensing costs separate from implementation budget.</w:t>
      </w:r>
    </w:p>
    <w:p>
      <w:pPr>
        <w:pStyle w:val="Heading2"/>
        <w:spacing w:after="120" w:before="240" w:line="312"/>
      </w:pPr>
      <w:bookmarkStart w:id="100015" w:name="_Toc100015"/>
      <w:r>
        <w:rPr>
          <w:rFonts w:ascii="Times New Roman" w:eastAsia="SimHei"/>
          <w:b/>
          <w:bCs/>
          <w:color w:val="182030"/>
        </w:rPr>
        <w:t xml:space="preserve">5.2 Step 2: Security Review Submission</w:t>
      </w:r>
      <w:bookmarkEnd w:id="100015"/>
    </w:p>
    <w:p>
      <w:pPr>
        <w:spacing w:after="80" w:line="312"/>
        <w:ind w:firstLine="480"/>
        <w:jc w:val="both"/>
      </w:pPr>
      <w:r>
        <w:rPr>
          <w:rFonts w:ascii="Times New Roman" w:eastAsia="SimSun"/>
          <w:color w:val="182030"/>
          <w:sz w:val="24"/>
          <w:szCs w:val="24"/>
        </w:rPr>
        <w:t xml:space="preserve">DevSecOps Agent completes the security review checklist for the component; includes budget impact classification.</w:t>
      </w:r>
    </w:p>
    <w:p>
      <w:pPr>
        <w:pStyle w:val="Heading2"/>
        <w:spacing w:after="120" w:before="240" w:line="312"/>
      </w:pPr>
      <w:bookmarkStart w:id="100016" w:name="_Toc100016"/>
      <w:r>
        <w:rPr>
          <w:rFonts w:ascii="Times New Roman" w:eastAsia="SimHei"/>
          <w:b/>
          <w:bCs/>
          <w:color w:val="182030"/>
        </w:rPr>
        <w:t xml:space="preserve">5.3 Step 3: Red Team Assessment</w:t>
      </w:r>
      <w:bookmarkEnd w:id="100016"/>
    </w:p>
    <w:p>
      <w:pPr>
        <w:spacing w:after="80" w:line="312"/>
        <w:ind w:firstLine="480"/>
        <w:jc w:val="both"/>
      </w:pPr>
      <w:r>
        <w:rPr>
          <w:rFonts w:ascii="Times New Roman" w:eastAsia="SimSun"/>
          <w:color w:val="182030"/>
          <w:sz w:val="24"/>
          <w:szCs w:val="24"/>
        </w:rPr>
        <w:t xml:space="preserve">Red Team/Compliance Agent conducts independent security assessment; includes data governance review for AI components processing sensitive programme data.</w:t>
      </w:r>
    </w:p>
    <w:p>
      <w:pPr>
        <w:pStyle w:val="Heading2"/>
        <w:spacing w:after="120" w:before="240" w:line="312"/>
      </w:pPr>
      <w:bookmarkStart w:id="100017" w:name="_Toc100017"/>
      <w:r>
        <w:rPr>
          <w:rFonts w:ascii="Times New Roman" w:eastAsia="SimHei"/>
          <w:b/>
          <w:bCs/>
          <w:color w:val="182030"/>
        </w:rPr>
        <w:t xml:space="preserve">5.4 Step 4: Architecture Review</w:t>
      </w:r>
      <w:bookmarkEnd w:id="100017"/>
    </w:p>
    <w:p>
      <w:pPr>
        <w:spacing w:after="80" w:line="312"/>
        <w:ind w:firstLine="480"/>
        <w:jc w:val="both"/>
      </w:pPr>
      <w:r>
        <w:rPr>
          <w:rFonts w:ascii="Times New Roman" w:eastAsia="SimSun"/>
          <w:color w:val="182030"/>
          <w:sz w:val="24"/>
          <w:szCs w:val="24"/>
        </w:rPr>
        <w:t xml:space="preserve">Solution Architect evaluates integration impact and compatibility; includes Aceli Salesforce team collaboration for Salesforce-related components.</w:t>
      </w:r>
    </w:p>
    <w:p>
      <w:pPr>
        <w:pStyle w:val="Heading2"/>
        <w:spacing w:after="120" w:before="240" w:line="312"/>
      </w:pPr>
      <w:bookmarkStart w:id="100018" w:name="_Toc100018"/>
      <w:r>
        <w:rPr>
          <w:rFonts w:ascii="Times New Roman" w:eastAsia="SimHei"/>
          <w:b/>
          <w:bCs/>
          <w:color w:val="182030"/>
        </w:rPr>
        <w:t xml:space="preserve">5.5 Step 5: Approval Decision</w:t>
      </w:r>
      <w:bookmarkEnd w:id="100018"/>
    </w:p>
    <w:p>
      <w:pPr>
        <w:spacing w:after="80" w:line="312"/>
        <w:ind w:firstLine="480"/>
        <w:jc w:val="both"/>
      </w:pPr>
      <w:r>
        <w:rPr>
          <w:rFonts w:ascii="Times New Roman" w:eastAsia="SimSun"/>
          <w:color w:val="182030"/>
          <w:sz w:val="24"/>
          <w:szCs w:val="24"/>
        </w:rPr>
        <w:t xml:space="preserve">DevSecOps + Red Team + Architect jointly approve or reject; rejection requires rationale and alternative recommendation; budget implications documented for Aceli review.</w:t>
      </w:r>
    </w:p>
    <w:p>
      <w:pPr>
        <w:pStyle w:val="Heading2"/>
        <w:spacing w:after="120" w:before="240" w:line="312"/>
      </w:pPr>
      <w:bookmarkStart w:id="100019" w:name="_Toc100019"/>
      <w:r>
        <w:rPr>
          <w:rFonts w:ascii="Times New Roman" w:eastAsia="SimHei"/>
          <w:b/>
          <w:bCs/>
          <w:color w:val="182030"/>
        </w:rPr>
        <w:t xml:space="preserve">5.6 Step 6: Approved List Update</w:t>
      </w:r>
      <w:bookmarkEnd w:id="100019"/>
    </w:p>
    <w:p>
      <w:pPr>
        <w:spacing w:after="80" w:line="312"/>
        <w:ind w:firstLine="480"/>
        <w:jc w:val="both"/>
      </w:pPr>
      <w:r>
        <w:rPr>
          <w:rFonts w:ascii="Times New Roman" w:eastAsia="SimSun"/>
          <w:color w:val="182030"/>
          <w:sz w:val="24"/>
          <w:szCs w:val="24"/>
        </w:rPr>
        <w:t xml:space="preserve">Approved component is added to the approved list with version, conditions, review date, and licensing cost classification.</w:t>
      </w:r>
    </w:p>
    <w:p>
      <w:pPr>
        <w:pStyle w:val="Heading2"/>
        <w:spacing w:after="120" w:before="240" w:line="312"/>
      </w:pPr>
      <w:bookmarkStart w:id="100020" w:name="_Toc100020"/>
      <w:r>
        <w:rPr>
          <w:rFonts w:ascii="Times New Roman" w:eastAsia="SimHei"/>
          <w:b/>
          <w:bCs/>
          <w:color w:val="182030"/>
        </w:rPr>
        <w:t xml:space="preserve">5.7 Step 7: Ongoing Monitoring</w:t>
      </w:r>
      <w:bookmarkEnd w:id="100020"/>
    </w:p>
    <w:p>
      <w:pPr>
        <w:spacing w:after="80" w:line="312"/>
        <w:ind w:firstLine="480"/>
        <w:jc w:val="both"/>
      </w:pPr>
      <w:r>
        <w:rPr>
          <w:rFonts w:ascii="Times New Roman" w:eastAsia="SimSun"/>
          <w:color w:val="182030"/>
          <w:sz w:val="24"/>
          <w:szCs w:val="24"/>
        </w:rPr>
        <w:t xml:space="preserve">Approved components are reviewed at phase transitions and on vulnerability disclosure; licensing costs reviewed at phase gates.</w:t>
      </w:r>
    </w:p>
    <w:p>
      <w:pPr>
        <w:pStyle w:val="Heading1"/>
        <w:spacing w:after="120" w:before="360" w:line="312"/>
      </w:pPr>
      <w:bookmarkStart w:id="100021" w:name="_Toc100021"/>
      <w:r>
        <w:rPr>
          <w:rFonts w:ascii="Times New Roman" w:eastAsia="SimHei"/>
          <w:b/>
          <w:bCs/>
          <w:color w:val="182030"/>
        </w:rPr>
        <w:t xml:space="preserve">6. Prohibited Components and Patterns</w:t>
      </w:r>
      <w:bookmarkEnd w:id="100021"/>
    </w:p>
    <w:p>
      <w:pPr>
        <w:spacing w:after="80" w:line="312"/>
        <w:ind w:firstLine="480"/>
        <w:jc w:val="both"/>
      </w:pPr>
      <w:r>
        <w:rPr>
          <w:rFonts w:ascii="Times New Roman" w:eastAsia="SimSun"/>
          <w:color w:val="182030"/>
          <w:sz w:val="24"/>
          <w:szCs w:val="24"/>
        </w:rPr>
        <w:t xml:space="preserve">The following are explicitly prohibited without exception. No approval process exists for these items; they must never be introduced into the production build pipeline under any circumstances.</w:t>
      </w:r>
    </w:p>
    <w:p>
      <w:pPr>
        <w:pStyle w:val="ListParagraph"/>
        <w:numPr>
          <w:ilvl w:val="0"/>
          <w:numId w:val="1"/>
        </w:numPr>
        <w:spacing w:after="40" w:line="312"/>
      </w:pPr>
      <w:r>
        <w:rPr>
          <w:rFonts w:ascii="Times New Roman" w:eastAsia="SimSun"/>
          <w:color w:val="182030"/>
          <w:sz w:val="24"/>
          <w:szCs w:val="24"/>
        </w:rPr>
        <w:t xml:space="preserve">Direct production dependency on unapproved public LLM endpoints</w:t>
      </w:r>
    </w:p>
    <w:p>
      <w:pPr>
        <w:pStyle w:val="ListParagraph"/>
        <w:numPr>
          <w:ilvl w:val="0"/>
          <w:numId w:val="1"/>
        </w:numPr>
        <w:spacing w:after="40" w:line="312"/>
      </w:pPr>
      <w:r>
        <w:rPr>
          <w:rFonts w:ascii="Times New Roman" w:eastAsia="SimSun"/>
          <w:color w:val="182030"/>
          <w:sz w:val="24"/>
          <w:szCs w:val="24"/>
        </w:rPr>
        <w:t xml:space="preserve">Local shadow databases acting as source of truth</w:t>
      </w:r>
    </w:p>
    <w:p>
      <w:pPr>
        <w:pStyle w:val="ListParagraph"/>
        <w:numPr>
          <w:ilvl w:val="0"/>
          <w:numId w:val="1"/>
        </w:numPr>
        <w:spacing w:after="40" w:line="312"/>
      </w:pPr>
      <w:r>
        <w:rPr>
          <w:rFonts w:ascii="Times New Roman" w:eastAsia="SimSun"/>
          <w:color w:val="182030"/>
          <w:sz w:val="24"/>
          <w:szCs w:val="24"/>
        </w:rPr>
        <w:t xml:space="preserve">Spreadsheet export-based reconciliation workflows</w:t>
      </w:r>
    </w:p>
    <w:p>
      <w:pPr>
        <w:pStyle w:val="ListParagraph"/>
        <w:numPr>
          <w:ilvl w:val="0"/>
          <w:numId w:val="1"/>
        </w:numPr>
        <w:spacing w:after="40" w:line="312"/>
      </w:pPr>
      <w:r>
        <w:rPr>
          <w:rFonts w:ascii="Times New Roman" w:eastAsia="SimSun"/>
          <w:color w:val="182030"/>
          <w:sz w:val="24"/>
          <w:szCs w:val="24"/>
        </w:rPr>
        <w:t xml:space="preserve">Unreviewed schema mutations in Salesforce</w:t>
      </w:r>
    </w:p>
    <w:p>
      <w:pPr>
        <w:pStyle w:val="ListParagraph"/>
        <w:numPr>
          <w:ilvl w:val="0"/>
          <w:numId w:val="1"/>
        </w:numPr>
        <w:spacing w:after="40" w:line="312"/>
      </w:pPr>
      <w:r>
        <w:rPr>
          <w:rFonts w:ascii="Times New Roman" w:eastAsia="SimSun"/>
          <w:color w:val="182030"/>
          <w:sz w:val="24"/>
          <w:szCs w:val="24"/>
        </w:rPr>
        <w:t xml:space="preserve">Dashboards used as transactional capture tools</w:t>
      </w:r>
    </w:p>
    <w:p>
      <w:pPr>
        <w:pStyle w:val="ListParagraph"/>
        <w:numPr>
          <w:ilvl w:val="0"/>
          <w:numId w:val="1"/>
        </w:numPr>
        <w:spacing w:after="40" w:line="312"/>
      </w:pPr>
      <w:r>
        <w:rPr>
          <w:rFonts w:ascii="Times New Roman" w:eastAsia="SimSun"/>
          <w:color w:val="182030"/>
          <w:sz w:val="24"/>
          <w:szCs w:val="24"/>
        </w:rPr>
        <w:t xml:space="preserve">AI auto-writeback bypassing reviewer approval</w:t>
      </w:r>
    </w:p>
    <w:p>
      <w:pPr>
        <w:pStyle w:val="ListParagraph"/>
        <w:numPr>
          <w:ilvl w:val="0"/>
          <w:numId w:val="1"/>
        </w:numPr>
        <w:spacing w:after="40" w:line="312"/>
      </w:pPr>
      <w:r>
        <w:rPr>
          <w:rFonts w:ascii="Times New Roman" w:eastAsia="SimSun"/>
          <w:color w:val="182030"/>
          <w:sz w:val="24"/>
          <w:szCs w:val="24"/>
        </w:rPr>
        <w:t xml:space="preserve">Hardcoded secrets, tokens, or credentials</w:t>
      </w:r>
    </w:p>
    <w:p>
      <w:pPr>
        <w:pStyle w:val="ListParagraph"/>
        <w:numPr>
          <w:ilvl w:val="0"/>
          <w:numId w:val="1"/>
        </w:numPr>
        <w:spacing w:after="40" w:line="312"/>
      </w:pPr>
      <w:r>
        <w:rPr>
          <w:rFonts w:ascii="Times New Roman" w:eastAsia="SimSun"/>
          <w:color w:val="182030"/>
          <w:sz w:val="24"/>
          <w:szCs w:val="24"/>
        </w:rPr>
        <w:t xml:space="preserve">Unapproved third-party analytics or tracking services</w:t>
      </w:r>
    </w:p>
    <w:p>
      <w:pPr>
        <w:pStyle w:val="ListParagraph"/>
        <w:numPr>
          <w:ilvl w:val="0"/>
          <w:numId w:val="1"/>
        </w:numPr>
        <w:spacing w:after="40" w:line="312"/>
      </w:pPr>
      <w:r>
        <w:rPr>
          <w:rFonts w:ascii="Times New Roman" w:eastAsia="SimSun"/>
          <w:color w:val="182030"/>
          <w:sz w:val="24"/>
          <w:szCs w:val="24"/>
        </w:rPr>
        <w:t xml:space="preserve">Any component that uses Aceli lender-level or borrower-level data for model training or fine-tuning regardless of the vendor or platform</w:t>
      </w:r>
    </w:p>
    <w:p>
      <w:pPr>
        <w:pStyle w:val="Heading1"/>
        <w:spacing w:after="120" w:before="360" w:line="312"/>
      </w:pPr>
      <w:bookmarkStart w:id="100022" w:name="_Toc100022"/>
      <w:r>
        <w:rPr>
          <w:rFonts w:ascii="Times New Roman" w:eastAsia="SimHei"/>
          <w:b/>
          <w:bCs/>
          <w:color w:val="182030"/>
        </w:rPr>
        <w:t xml:space="preserve">7. Compliance Validation Schedule</w:t>
      </w:r>
      <w:bookmarkEnd w:id="100022"/>
    </w:p>
    <w:p>
      <w:pPr>
        <w:spacing w:after="80" w:line="312"/>
        <w:ind w:firstLine="480"/>
        <w:jc w:val="both"/>
      </w:pPr>
      <w:r>
        <w:rPr>
          <w:rFonts w:ascii="Times New Roman" w:eastAsia="SimSun"/>
          <w:color w:val="182030"/>
          <w:sz w:val="24"/>
          <w:szCs w:val="24"/>
        </w:rPr>
        <w:t xml:space="preserve">Compliance validation occurs at the following points in the delivery lifecycle. Each validation point ensures that the approved component list remains current and that no unapproved components have entered the production pipeline.</w:t>
      </w:r>
    </w:p>
    <w:tbl>
      <w:tblPr>
        <w:tblW w:type="pct" w:w="100%"/>
        <w:tblBorders>
          <w:top w:val="single" w:color="D4875A" w:sz="1"/>
          <w:left w:val="single" w:color="D4875A" w:sz="1"/>
          <w:bottom w:val="single" w:color="D4875A" w:sz="1"/>
          <w:right w:val="single" w:color="D4875A" w:sz="1"/>
          <w:insideH w:val="single" w:color="DDD0C8" w:sz="1"/>
          <w:insideV w:val="single" w:color="DDD0C8" w:sz="1"/>
        </w:tblBorders>
      </w:tblPr>
      <w:tblGrid>
        <w:gridCol w:w="100"/>
        <w:gridCol w:w="100"/>
        <w:gridCol w:w="100"/>
      </w:tblGrid>
      <w:tr>
        <w:trPr>
          <w:tblHeader/>
        </w:trPr>
        <w:tc>
          <w:tcPr>
            <w:tcW w:type="pct" w:w="18%"/>
            <w:tcBorders>
              <w:top w:val="single" w:color="D4875A" w:sz="1"/>
              <w:left w:val="single" w:color="D4875A" w:sz="1"/>
              <w:bottom w:val="single" w:color="D4875A" w:sz="1"/>
              <w:right w:val="single" w:color="D4875A" w:sz="1"/>
            </w:tcBorders>
            <w:shd w:fill="D4875A" w:val="clear"/>
          </w:tcPr>
          <w:p>
            <w:pPr>
              <w:spacing w:after="40" w:before="40" w:line="312"/>
            </w:pPr>
            <w:r>
              <w:rPr>
                <w:rFonts w:ascii="Times New Roman" w:eastAsia="SimHei"/>
                <w:b/>
                <w:bCs/>
                <w:color w:val="FFFFFF"/>
                <w:sz w:val="22"/>
                <w:szCs w:val="22"/>
              </w:rPr>
              <w:t xml:space="preserve">Validation Point</w:t>
            </w:r>
          </w:p>
        </w:tc>
        <w:tc>
          <w:tcPr>
            <w:tcW w:type="pct" w:w="50%"/>
            <w:tcBorders>
              <w:top w:val="single" w:color="D4875A" w:sz="1"/>
              <w:left w:val="single" w:color="D4875A" w:sz="1"/>
              <w:bottom w:val="single" w:color="D4875A" w:sz="1"/>
              <w:right w:val="single" w:color="D4875A" w:sz="1"/>
            </w:tcBorders>
            <w:shd w:fill="D4875A" w:val="clear"/>
          </w:tcPr>
          <w:p>
            <w:pPr>
              <w:spacing w:after="40" w:before="40" w:line="312"/>
            </w:pPr>
            <w:r>
              <w:rPr>
                <w:rFonts w:ascii="Times New Roman" w:eastAsia="SimHei"/>
                <w:b/>
                <w:bCs/>
                <w:color w:val="FFFFFF"/>
                <w:sz w:val="22"/>
                <w:szCs w:val="22"/>
              </w:rPr>
              <w:t xml:space="preserve">Scope</w:t>
            </w:r>
          </w:p>
        </w:tc>
        <w:tc>
          <w:tcPr>
            <w:tcW w:type="pct" w:w="32%"/>
            <w:tcBorders>
              <w:top w:val="single" w:color="D4875A" w:sz="1"/>
              <w:left w:val="single" w:color="D4875A" w:sz="1"/>
              <w:bottom w:val="single" w:color="D4875A" w:sz="1"/>
              <w:right w:val="single" w:color="D4875A" w:sz="1"/>
            </w:tcBorders>
            <w:shd w:fill="D4875A" w:val="clear"/>
          </w:tcPr>
          <w:p>
            <w:pPr>
              <w:spacing w:after="40" w:before="40" w:line="312"/>
            </w:pPr>
            <w:r>
              <w:rPr>
                <w:rFonts w:ascii="Times New Roman" w:eastAsia="SimHei"/>
                <w:b/>
                <w:bCs/>
                <w:color w:val="FFFFFF"/>
                <w:sz w:val="22"/>
                <w:szCs w:val="22"/>
              </w:rPr>
              <w:t xml:space="preserve">Output</w:t>
            </w:r>
          </w:p>
        </w:tc>
      </w:tr>
      <w:tr>
        <w:trPr>
          <w:cantSplit/>
        </w:trPr>
        <w:tc>
          <w:tcPr>
            <w:tcW w:type="pct" w:w="18%"/>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Sprint 0</w:t>
            </w:r>
          </w:p>
        </w:tc>
        <w:tc>
          <w:tcPr>
            <w:tcW w:type="pct" w:w="50%"/>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Initial approved list published; all mandatory platforms confirmed including Claude for Nonprofits; Salesforce Enterprise Edition and sandbox availability confirmed</w:t>
            </w:r>
          </w:p>
        </w:tc>
        <w:tc>
          <w:tcPr>
            <w:tcW w:type="pct" w:w="32%"/>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Approved component register</w:t>
            </w:r>
          </w:p>
        </w:tc>
      </w:tr>
      <w:tr>
        <w:trPr>
          <w:cantSplit/>
        </w:trPr>
        <w:tc>
          <w:tcPr>
            <w:tcW w:type="pct" w:w="18%"/>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Sprint Boundary</w:t>
            </w:r>
          </w:p>
        </w:tc>
        <w:tc>
          <w:tcPr>
            <w:tcW w:type="pct" w:w="50%"/>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New component additions reviewed and approved before use; licensing cost implications assessed</w:t>
            </w:r>
          </w:p>
        </w:tc>
        <w:tc>
          <w:tcPr>
            <w:tcW w:type="pct" w:w="32%"/>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Updated approved list with new entries</w:t>
            </w:r>
          </w:p>
        </w:tc>
      </w:tr>
      <w:tr>
        <w:trPr>
          <w:cantSplit/>
        </w:trPr>
        <w:tc>
          <w:tcPr>
            <w:tcW w:type="pct" w:w="18%"/>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Phase Gates</w:t>
            </w:r>
          </w:p>
        </w:tc>
        <w:tc>
          <w:tcPr>
            <w:tcW w:type="pct" w:w="50%"/>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Full compliance review of all approved components; vulnerability assessment; licensing cost review</w:t>
            </w:r>
          </w:p>
        </w:tc>
        <w:tc>
          <w:tcPr>
            <w:tcW w:type="pct" w:w="32%"/>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Phase gate compliance report</w:t>
            </w:r>
          </w:p>
        </w:tc>
      </w:tr>
      <w:tr>
        <w:trPr>
          <w:cantSplit/>
        </w:trPr>
        <w:tc>
          <w:tcPr>
            <w:tcW w:type="pct" w:w="18%"/>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Ad-hoc</w:t>
            </w:r>
          </w:p>
        </w:tc>
        <w:tc>
          <w:tcPr>
            <w:tcW w:type="pct" w:w="50%"/>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Immediate review triggered by security incident or vulnerability disclosure</w:t>
            </w:r>
          </w:p>
        </w:tc>
        <w:tc>
          <w:tcPr>
            <w:tcW w:type="pct" w:w="32%"/>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Incident review and remediation report</w:t>
            </w:r>
          </w:p>
        </w:tc>
      </w:tr>
    </w:tbl>
    <w:p>
      <w:pPr>
        <w:pStyle w:val="Heading1"/>
        <w:spacing w:after="120" w:before="360" w:line="312"/>
      </w:pPr>
      <w:bookmarkStart w:id="100023" w:name="_Toc100023"/>
      <w:r>
        <w:rPr>
          <w:rFonts w:ascii="Times New Roman" w:eastAsia="SimHei"/>
          <w:b/>
          <w:bCs/>
          <w:color w:val="182030"/>
        </w:rPr>
        <w:t xml:space="preserve">8. Consortium Clarification Impacts</w:t>
      </w:r>
      <w:bookmarkEnd w:id="100023"/>
    </w:p>
    <w:p>
      <w:pPr>
        <w:spacing w:after="80" w:line="312"/>
        <w:ind w:firstLine="480"/>
        <w:jc w:val="both"/>
      </w:pPr>
      <w:r>
        <w:rPr>
          <w:rFonts w:ascii="Times New Roman" w:eastAsia="SimSun"/>
          <w:color w:val="182030"/>
          <w:sz w:val="24"/>
          <w:szCs w:val="24"/>
        </w:rPr>
        <w:t xml:space="preserve">This section documents the specific impacts of the Aceli consortium clarifications on the security and tenant approval process. Each clarification has been evaluated for its effect on the checklist requirements and operational procedures.</w:t>
      </w:r>
    </w:p>
    <w:p>
      <w:pPr>
        <w:pStyle w:val="Heading2"/>
        <w:spacing w:after="120" w:before="240" w:line="312"/>
      </w:pPr>
      <w:bookmarkStart w:id="100024" w:name="_Toc100024"/>
      <w:r>
        <w:rPr>
          <w:rFonts w:ascii="Times New Roman" w:eastAsia="SimHei"/>
          <w:b/>
          <w:bCs/>
          <w:color w:val="182030"/>
        </w:rPr>
        <w:t xml:space="preserve">8.1 Claude for Nonprofits Confirmation (Consortium Clarification 7)</w:t>
      </w:r>
      <w:bookmarkEnd w:id="100024"/>
    </w:p>
    <w:p>
      <w:pPr>
        <w:spacing w:after="80" w:line="312"/>
        <w:ind w:firstLine="480"/>
        <w:jc w:val="both"/>
      </w:pPr>
      <w:r>
        <w:rPr>
          <w:rFonts w:ascii="Times New Roman" w:eastAsia="SimSun"/>
          <w:color w:val="182030"/>
          <w:sz w:val="24"/>
          <w:szCs w:val="24"/>
        </w:rPr>
        <w:t xml:space="preserve">Claude Team/Enterprise is confirmed as the pre-approved AI platform; licensing costs are separate from implementation budget; production LLM processing must occur in approved enterprise environments.</w:t>
      </w:r>
    </w:p>
    <w:p>
      <w:pPr>
        <w:pStyle w:val="Heading2"/>
        <w:spacing w:after="120" w:before="240" w:line="312"/>
      </w:pPr>
      <w:bookmarkStart w:id="100025" w:name="_Toc100025"/>
      <w:r>
        <w:rPr>
          <w:rFonts w:ascii="Times New Roman" w:eastAsia="SimHei"/>
          <w:b/>
          <w:bCs/>
          <w:color w:val="182030"/>
        </w:rPr>
        <w:t xml:space="preserve">8.2 Salesforce Enterprise Edition Details (Consortium Clarification 2)</w:t>
      </w:r>
      <w:bookmarkEnd w:id="100025"/>
    </w:p>
    <w:p>
      <w:pPr>
        <w:spacing w:after="80" w:line="312"/>
        <w:ind w:firstLine="480"/>
        <w:jc w:val="both"/>
      </w:pPr>
      <w:r>
        <w:rPr>
          <w:rFonts w:ascii="Times New Roman" w:eastAsia="SimSun"/>
          <w:color w:val="182030"/>
          <w:sz w:val="24"/>
          <w:szCs w:val="24"/>
        </w:rPr>
        <w:t xml:space="preserve">Custom objects confirmed; Aceli internal Salesforce team collaboration required; sandbox available for development and testing; LAT scoring framework not currently in Salesforce.</w:t>
      </w:r>
    </w:p>
    <w:p>
      <w:pPr>
        <w:pStyle w:val="Heading2"/>
        <w:spacing w:after="120" w:before="240" w:line="312"/>
      </w:pPr>
      <w:bookmarkStart w:id="100026" w:name="_Toc100026"/>
      <w:r>
        <w:rPr>
          <w:rFonts w:ascii="Times New Roman" w:eastAsia="SimHei"/>
          <w:b/>
          <w:bCs/>
          <w:color w:val="182030"/>
        </w:rPr>
        <w:t xml:space="preserve">8.3 Transcription Requirements (Consortium Clarification 5)</w:t>
      </w:r>
      <w:bookmarkEnd w:id="100026"/>
    </w:p>
    <w:p>
      <w:pPr>
        <w:spacing w:after="80" w:line="312"/>
        <w:ind w:firstLine="480"/>
        <w:jc w:val="both"/>
      </w:pPr>
      <w:r>
        <w:rPr>
          <w:rFonts w:ascii="Times New Roman" w:eastAsia="SimSun"/>
          <w:color w:val="182030"/>
          <w:sz w:val="24"/>
          <w:szCs w:val="24"/>
        </w:rPr>
        <w:t xml:space="preserve">Regional accent support and limited multilingual code-switching required; transcription service security review must cover data handling for conversations containing Swahili and local-language phrases.</w:t>
      </w:r>
    </w:p>
    <w:p>
      <w:pPr>
        <w:pStyle w:val="Heading2"/>
        <w:spacing w:after="120" w:before="240" w:line="312"/>
      </w:pPr>
      <w:bookmarkStart w:id="100027" w:name="_Toc100027"/>
      <w:r>
        <w:rPr>
          <w:rFonts w:ascii="Times New Roman" w:eastAsia="SimHei"/>
          <w:b/>
          <w:bCs/>
          <w:color w:val="182030"/>
        </w:rPr>
        <w:t xml:space="preserve">8.4 Benchmarking Dataset (Consortium Clarification 4)</w:t>
      </w:r>
      <w:bookmarkEnd w:id="100027"/>
    </w:p>
    <w:p>
      <w:pPr>
        <w:spacing w:after="80" w:line="312"/>
        <w:ind w:firstLine="480"/>
        <w:jc w:val="both"/>
      </w:pPr>
      <w:r>
        <w:rPr>
          <w:rFonts w:ascii="Times New Roman" w:eastAsia="SimSun"/>
          <w:color w:val="182030"/>
          <w:sz w:val="24"/>
          <w:szCs w:val="24"/>
        </w:rPr>
        <w:t xml:space="preserve">Approximately 60,000 records in Google Sheets connected to Power BI; data pathway must be controlled and auditable; no rebuild of existing architecture.</w:t>
      </w:r>
    </w:p>
    <w:sectPr>
      <w:headerReference w:type="default" r:id="rId8"/>
      <w:footerReference w:type="default" r:id="rId9"/>
      <w:type w:val="nextPage"/>
      <w:pgSz w:w="11906" w:h="16838" w:orient="portrait"/>
      <w:pgMar w:top="1440" w:right="1417" w:bottom="1440" w:left="1701"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color w:val="808080"/>
        <w:sz w:val="18"/>
        <w:szCs w:val="18"/>
      </w:rPr>
      <w:t xml:space="preserve">Aceli LAT Security and Tenant Approval Checklist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SimSun"/>
        <w:color w:val="182030"/>
        <w:sz w:val="24"/>
        <w:szCs w:val="24"/>
      </w:rPr>
    </w:rPrDefault>
    <w:pPrDefault>
      <w:pPr>
        <w:spacing w:line="312"/>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line="312"/>
      <w:outlineLvl w:val="0"/>
    </w:pPr>
    <w:rPr>
      <w:rFonts w:ascii="Times New Roman" w:eastAsia="SimHei"/>
      <w:b/>
      <w:bCs/>
      <w:color w:val="182030"/>
      <w:sz w:val="32"/>
      <w:szCs w:val="32"/>
    </w:rPr>
  </w:style>
  <w:style w:type="paragraph" w:styleId="Heading2">
    <w:name w:val="Heading 2"/>
    <w:basedOn w:val="Normal"/>
    <w:next w:val="Normal"/>
    <w:qFormat/>
    <w:pPr>
      <w:spacing w:after="120" w:before="240" w:line="312"/>
      <w:outlineLvl w:val="1"/>
    </w:pPr>
    <w:rPr>
      <w:rFonts w:ascii="Times New Roman" w:eastAsia="SimHei"/>
      <w:b/>
      <w:bCs/>
      <w:color w:val="182030"/>
      <w:sz w:val="28"/>
      <w:szCs w:val="28"/>
    </w:rPr>
  </w:style>
  <w:style w:type="paragraph" w:styleId="Heading3">
    <w:name w:val="Heading 3"/>
    <w:basedOn w:val="Normal"/>
    <w:next w:val="Normal"/>
    <w:qFormat/>
    <w:pPr>
      <w:spacing w:after="100" w:before="200" w:line="312"/>
      <w:outlineLvl w:val="2"/>
    </w:pPr>
    <w:rPr>
      <w:rFonts w:ascii="Times New Roman" w:eastAsia="SimHei"/>
      <w:b/>
      <w:bCs/>
      <w:color w:val="182030"/>
      <w:sz w:val="24"/>
      <w:szCs w:val="24"/>
    </w:rPr>
  </w:style>
  <w:style w:type="paragraph" w:styleId="Heading4">
    <w:pPr>
      <w:outlineLvl w:val="3"/>
    </w:pPr>
    <w:name w:val="Heading 4"/>
    <w:basedOn w:val="Normal"/>
    <w:next w:val="Normal"/>
    <w:qFormat/>
    <w:rPr>
      <w:i/>
      <w:iCs/>
      <w:color w:val="2E74B5"/>
    </w:rPr>
  </w:style>
  <w:style w:type="paragraph" w:styleId="Heading5">
    <w:pPr>
      <w:outlineLvl w:val="4"/>
    </w:pPr>
    <w:name w:val="Heading 5"/>
    <w:basedOn w:val="Normal"/>
    <w:next w:val="Normal"/>
    <w:qFormat/>
    <w:rPr>
      <w:color w:val="2E74B5"/>
    </w:rPr>
  </w:style>
  <w:style w:type="paragraph" w:styleId="Heading6">
    <w:pPr>
      <w:outlineLvl w:val="5"/>
    </w:pPr>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xmlns:w="http://schemas.openxmlformats.org/wordprocessingml/2006/main" w:type="paragraph" w:styleId="9">
    <w:name w:val="toc 1"/>
    <w:basedOn w:val="Normal"/>
    <w:uiPriority w:val="39"/>
    <w:pPr>
      <w:tabs>
        <w:tab w:val="right" w:leader="dot" w:pos="9026"/>
      </w:tabs>
      <w:spacing w:before="120" w:after="60"/>
    </w:pPr>
    <w:rPr>
      <w:b/>
      <w:bCs/>
    </w:rPr>
  </w:style>
  <w:style xmlns:w="http://schemas.openxmlformats.org/wordprocessingml/2006/main" w:type="paragraph" w:styleId="11">
    <w:name w:val="toc 2"/>
    <w:basedOn w:val="Normal"/>
    <w:uiPriority w:val="39"/>
    <w:pPr>
      <w:tabs>
        <w:tab w:val="right" w:leader="dot" w:pos="9026"/>
      </w:tabs>
      <w:ind w:left="360"/>
      <w:spacing w:before="60" w:after="40"/>
    </w:pPr>
  </w:style>
  <w:style xmlns:w="http://schemas.openxmlformats.org/wordprocessingml/2006/main" w:type="paragraph" w:styleId="12">
    <w:name w:val="toc 3"/>
    <w:basedOn w:val="Normal"/>
    <w:uiPriority w:val="39"/>
    <w:pPr>
      <w:tabs>
        <w:tab w:val="right" w:leader="dot" w:pos="9026"/>
      </w:tabs>
      <w:ind w:left="720"/>
      <w:spacing w:before="40" w:after="20"/>
    </w:p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header" Target="header1.xml"/><Relationship Id="rId9" Type="http://schemas.openxmlformats.org/officeDocument/2006/relationships/footer" Target="footer2.xm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2026-06-12T07:29:22.726Z</dcterms:created>
  <dcterms:modified xsi:type="dcterms:W3CDTF">2026-06-12T07:29:22.726Z</dcterms:modified>
</cp:coreProperties>
</file>

<file path=docProps/custom.xml><?xml version="1.0" encoding="utf-8"?>
<Properties xmlns="http://schemas.openxmlformats.org/officeDocument/2006/custom-properties" xmlns:vt="http://schemas.openxmlformats.org/officeDocument/2006/docPropsVTypes"/>
</file>