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FCA9" w14:textId="77777777" w:rsidR="00F84D50" w:rsidRDefault="00F84D50" w:rsidP="00F84D50">
      <w:r>
        <w:t>Thank you for the thoughtful and well-structured clarification questions. We appreciate the level of operational and technical detail reflected in your review of the RFP. Please find our responses below.</w:t>
      </w:r>
      <w:r>
        <w:br/>
      </w:r>
      <w:r>
        <w:br/>
        <w:t>1. LAT Schema and Field Structure</w:t>
      </w:r>
      <w:r>
        <w:br/>
      </w:r>
      <w:r>
        <w:br/>
        <w:t>Aceli agrees that understanding the high-level LAT structure and activation methodology is important for bidders to propose an appropriately tailored technical architecture. The current LAT itself is a relatively lightweight Google Sheets-based tool containing:</w:t>
      </w:r>
    </w:p>
    <w:p w14:paraId="5F1BA42D" w14:textId="77777777" w:rsidR="00F84D50" w:rsidRDefault="00F84D50" w:rsidP="00F84D50">
      <w:pPr>
        <w:numPr>
          <w:ilvl w:val="0"/>
          <w:numId w:val="1"/>
        </w:numPr>
        <w:spacing w:before="100" w:beforeAutospacing="1" w:after="100" w:afterAutospacing="1"/>
      </w:pPr>
      <w:r>
        <w:t>the lender activation methodology and scoring framework;</w:t>
      </w:r>
    </w:p>
    <w:p w14:paraId="427648CF" w14:textId="77777777" w:rsidR="00F84D50" w:rsidRDefault="00F84D50" w:rsidP="00F84D50">
      <w:pPr>
        <w:numPr>
          <w:ilvl w:val="0"/>
          <w:numId w:val="1"/>
        </w:numPr>
        <w:spacing w:before="100" w:beforeAutospacing="1" w:after="100" w:afterAutospacing="1"/>
      </w:pPr>
      <w:r>
        <w:t>assessment questions and scoring approaches across the six activation areas; and</w:t>
      </w:r>
    </w:p>
    <w:p w14:paraId="4ED40DB5" w14:textId="77777777" w:rsidR="00F84D50" w:rsidRDefault="00F84D50" w:rsidP="00F84D50">
      <w:pPr>
        <w:numPr>
          <w:ilvl w:val="0"/>
          <w:numId w:val="1"/>
        </w:numPr>
        <w:spacing w:before="100" w:beforeAutospacing="1" w:after="100" w:afterAutospacing="1"/>
      </w:pPr>
      <w:r>
        <w:t>country-level lender activation assessments linked to Salesforce reporting outputs.</w:t>
      </w:r>
    </w:p>
    <w:p w14:paraId="381EB0CC" w14:textId="77777777" w:rsidR="00F84D50" w:rsidRDefault="00F84D50" w:rsidP="00F84D50">
      <w:r>
        <w:t xml:space="preserve">A summary description of these activation areas is publicly available on page 10 in </w:t>
      </w:r>
      <w:hyperlink r:id="rId5" w:tgtFrame="_blank" w:history="1">
        <w:r>
          <w:rPr>
            <w:rStyle w:val="Hyperlink"/>
          </w:rPr>
          <w:t>Aceli’s Year 3 Learning Report</w:t>
        </w:r>
      </w:hyperlink>
      <w:r>
        <w:t xml:space="preserve"> on our website. More detailed field structures, scoring logic, and workflow documentation will be shared with the selected vendor under appropriate confidentiality arrangements where necessary to support solution design and implementation planning.</w:t>
      </w:r>
      <w:r>
        <w:br/>
      </w:r>
      <w:r>
        <w:br/>
        <w:t>2. Salesforce Object Model and Ownership of Configuration Work</w:t>
      </w:r>
      <w:r>
        <w:br/>
      </w:r>
      <w:r>
        <w:br/>
        <w:t>Aceli currently operates on Salesforce Enterprise Edition with a number of customisations developed to support lender relationship management and programme operations. The lender-related data relevant to this engagement primarily resides within custom Salesforce objects. However, the current LAT assessment and scoring framework itself remains primarily managed through Google Sheets workflows rather than fully embedded within Salesforce today. A Salesforce sandbox environment is available for development and testing activities, and Aceli’s internal Salesforce team will support discovery, integration design, testing, and deployment activities. The selected vendor should expect to work collaboratively with Aceli on any required configuration, integration, workflow, or data model enhancements during discovery and implementation.</w:t>
      </w:r>
      <w:r>
        <w:br/>
      </w:r>
      <w:r>
        <w:br/>
        <w:t>3. Offline-First Operating Conditions</w:t>
      </w:r>
      <w:r>
        <w:br/>
      </w:r>
      <w:r>
        <w:br/>
        <w:t>Country teams generally operate in environments with intermittent or variable mobile connectivity rather than prolonged periods of complete offline operation. However, Aceli still expects the platform to support resilient low-bandwidth usage and offline capture with later synchronisation where appropriate, particularly during field engagement and travel between lender locations. Bidders are encouraged to propose the architecture approach they believe best balances usability, reliability, implementation complexity, and delivery timelines within these operating conditions.</w:t>
      </w:r>
      <w:r>
        <w:br/>
      </w:r>
      <w:r>
        <w:br/>
      </w:r>
      <w:r>
        <w:lastRenderedPageBreak/>
        <w:t>4. Benchmarking Data Pathway</w:t>
      </w:r>
      <w:r>
        <w:br/>
      </w:r>
      <w:r>
        <w:br/>
        <w:t>The benchmarking environment currently exists and is not expected to be rebuilt as part of this engagement. The benchmarking dataset currently consists of approximately 60,000 records maintained within Google Sheets-based workflows and connected to existing Power BI reporting dashboards. Power BI currently reads from Salesforce using the standard Power BI Salesforce connector, alongside selected Google Sheets-based data sources.</w:t>
      </w:r>
      <w:r>
        <w:br/>
      </w:r>
      <w:r>
        <w:br/>
        <w:t>The intent of the RFP is not to redesign the benchmarking architecture, but rather to ensure that agreed LAT outputs can flow into the approved analytics and reporting environment through controlled, governed, and auditable pathways without introducing unmanaged exports, shadow databases, or manual reconciliation routines.</w:t>
      </w:r>
      <w:r>
        <w:br/>
      </w:r>
      <w:r>
        <w:br/>
        <w:t>5. Language and Code-Switching in Voice Capture</w:t>
      </w:r>
      <w:r>
        <w:br/>
      </w:r>
      <w:r>
        <w:br/>
        <w:t>Most lender engagement conversations are conducted primarily in English. However, occasional code-switching and use of regional terminology — including some Swahili and local-language phrases — may occur depending on the country, institution, and operational context.</w:t>
      </w:r>
      <w:r>
        <w:br/>
      </w:r>
      <w:r>
        <w:br/>
        <w:t>Bidders should therefore assume that the transcription and extraction workflows may need to accommodate regional accents, agricultural terminology, and limited multilingual elements in practical field use.</w:t>
      </w:r>
      <w:r>
        <w:br/>
      </w:r>
      <w:r>
        <w:br/>
        <w:t>6. Pilot-Country Selection Logic</w:t>
      </w:r>
      <w:r>
        <w:br/>
      </w:r>
      <w:r>
        <w:br/>
        <w:t>The pilot country is expected to be jointly agreed during Phase 0 discovery rather than fixed before mobilisation. Selection will likely consider factors such as operational readiness, stakeholder availability, lender concentration, implementation practicality, and overall delivery risk within the 90-day pilot window. Bidders are welcome to propose a preferred pilot country and supporting rationale within their submissions if they believe this would strengthen their implementation approach.</w:t>
      </w:r>
      <w:r>
        <w:br/>
      </w:r>
      <w:r>
        <w:br/>
        <w:t>7. Claude Team or Enterprise Availability</w:t>
      </w:r>
      <w:r>
        <w:br/>
      </w:r>
      <w:r>
        <w:br/>
        <w:t>Aceli currently operates within the Claude for Nonprofits programme and has access to Claude Team / Enterprise environments as part of its approved AI platform environment. At present, Aceli expects any production LLM processing involving sensitive programme data to occur within approved enterprise environments consistent with the governance requirements outlined in the RFP. Where ongoing platform or licensing costs are required for the proposed solution, these should be clearly identified separately from the implementation budget. Aceli anticipates that approved platform licensing costs would be managed separately from the capped implementation budget.</w:t>
      </w:r>
      <w:r>
        <w:br/>
      </w:r>
      <w:r>
        <w:br/>
        <w:t>8. Baseline Capture Methodology</w:t>
      </w:r>
      <w:r>
        <w:br/>
      </w:r>
      <w:r>
        <w:lastRenderedPageBreak/>
        <w:br/>
        <w:t>Aceli does not currently maintain a formalised measurement of reconciliation time for the Lender Activation Working Group. Bidders should therefore assume that baseline capture will need to be established during discovery through workflow observation, stakeholder interviews, and practical measurement approaches. The baseline methodology and resulting benchmark values will be jointly agreed between Aceli and the selected vendor during discovery before being used for pilot performance assessment.</w:t>
      </w:r>
      <w:r>
        <w:br/>
      </w:r>
      <w:r>
        <w:br/>
        <w:t>9. Scope of Workstream 2 External Interviews</w:t>
      </w:r>
      <w:r>
        <w:br/>
      </w:r>
      <w:r>
        <w:br/>
        <w:t>External stakeholder interviews are not mandatory but are encouraged where bidders believe they would materially strengthen the quality of the opportunity scan, prioritisation process, or resulting implementation recommendations.</w:t>
      </w:r>
      <w:r>
        <w:br/>
      </w:r>
      <w:r>
        <w:br/>
        <w:t>As outlined in the RFP, the core required interviews are expected to include Product Design, Product Operations, Country Leads, MEL, and Executive Office staff. Vendors are welcome to propose additional stakeholder engagement approaches if they believe these would add value within the overall delivery timeline and budget envelope.</w:t>
      </w:r>
      <w:r>
        <w:br/>
      </w:r>
      <w:r>
        <w:br/>
        <w:t>10. Lender Client Segment and Lending Structure</w:t>
      </w:r>
      <w:r>
        <w:br/>
      </w:r>
      <w:r>
        <w:br/>
        <w:t>Aceli works with approximately 55 lending institutions across five countries, including commercial banks, local non-bank financial institutions, SACCOs, and global social lenders. Participating lenders serve a diverse range of agricultural borrowers and financing structures.</w:t>
      </w:r>
      <w:r>
        <w:br/>
      </w:r>
      <w:r>
        <w:br/>
        <w:t>The portfolio includes lending to</w:t>
      </w:r>
    </w:p>
    <w:p w14:paraId="0C7145FF" w14:textId="77777777" w:rsidR="00F84D50" w:rsidRDefault="00F84D50" w:rsidP="00F84D50">
      <w:pPr>
        <w:numPr>
          <w:ilvl w:val="0"/>
          <w:numId w:val="2"/>
        </w:numPr>
        <w:spacing w:before="100" w:beforeAutospacing="1" w:after="100" w:afterAutospacing="1"/>
      </w:pPr>
      <w:r>
        <w:t>agricultural SMEs;</w:t>
      </w:r>
    </w:p>
    <w:p w14:paraId="709710D7" w14:textId="77777777" w:rsidR="00F84D50" w:rsidRDefault="00F84D50" w:rsidP="00F84D50">
      <w:pPr>
        <w:numPr>
          <w:ilvl w:val="0"/>
          <w:numId w:val="2"/>
        </w:numPr>
        <w:spacing w:before="100" w:beforeAutospacing="1" w:after="100" w:afterAutospacing="1"/>
      </w:pPr>
      <w:r>
        <w:t>cooperatives and producer organisations;</w:t>
      </w:r>
    </w:p>
    <w:p w14:paraId="6E6DF3B3" w14:textId="77777777" w:rsidR="00F84D50" w:rsidRDefault="00F84D50" w:rsidP="00F84D50">
      <w:pPr>
        <w:numPr>
          <w:ilvl w:val="0"/>
          <w:numId w:val="2"/>
        </w:numPr>
        <w:spacing w:before="100" w:beforeAutospacing="1" w:after="100" w:afterAutospacing="1"/>
      </w:pPr>
      <w:r>
        <w:t>farmer aggregation structures;</w:t>
      </w:r>
    </w:p>
    <w:p w14:paraId="0B2B13F0" w14:textId="77777777" w:rsidR="00F84D50" w:rsidRDefault="00F84D50" w:rsidP="00F84D50">
      <w:pPr>
        <w:numPr>
          <w:ilvl w:val="0"/>
          <w:numId w:val="2"/>
        </w:numPr>
        <w:spacing w:before="100" w:beforeAutospacing="1" w:after="100" w:afterAutospacing="1"/>
      </w:pPr>
      <w:r>
        <w:t>SACCO-linked borrowers;</w:t>
      </w:r>
    </w:p>
    <w:p w14:paraId="0EA8A60C" w14:textId="77777777" w:rsidR="00F84D50" w:rsidRDefault="00F84D50" w:rsidP="00F84D50">
      <w:pPr>
        <w:numPr>
          <w:ilvl w:val="0"/>
          <w:numId w:val="2"/>
        </w:numPr>
        <w:spacing w:before="100" w:beforeAutospacing="1" w:after="100" w:afterAutospacing="1"/>
      </w:pPr>
      <w:r>
        <w:t>traders and processors; and</w:t>
      </w:r>
    </w:p>
    <w:p w14:paraId="76F6D540" w14:textId="77777777" w:rsidR="00F84D50" w:rsidRDefault="00F84D50" w:rsidP="00F84D50">
      <w:pPr>
        <w:numPr>
          <w:ilvl w:val="0"/>
          <w:numId w:val="2"/>
        </w:numPr>
        <w:spacing w:before="100" w:beforeAutospacing="1" w:after="100" w:afterAutospacing="1"/>
      </w:pPr>
      <w:r>
        <w:t>other forms of agricultural enterprises across multiple value chains.</w:t>
      </w:r>
    </w:p>
    <w:p w14:paraId="236FB0F1" w14:textId="765FEF9C" w:rsidR="00F84D50" w:rsidRDefault="00F84D50" w:rsidP="00F84D50">
      <w:r>
        <w:t>Loan sizes currently range from approximately US$10,000 to US$1.5 million, with a significant concentration in smaller-ticket SME lending. The platform and associated workflows should therefore be flexible enough to accommodate different lender operating models, borrower structures, and country-specific engagement approaches.</w:t>
      </w:r>
      <w:r>
        <w:br/>
      </w:r>
      <w:r>
        <w:br/>
        <w:t>We hope these clarifications are helpful as you prepare your submission. Please feel free to reach out with any additional clarification questions during the open clarification window.</w:t>
      </w:r>
    </w:p>
    <w:sectPr w:rsidR="00F84D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451"/>
    <w:multiLevelType w:val="multilevel"/>
    <w:tmpl w:val="C3C6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7E21AA"/>
    <w:multiLevelType w:val="multilevel"/>
    <w:tmpl w:val="6062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79088473">
    <w:abstractNumId w:val="1"/>
    <w:lvlOverride w:ilvl="0"/>
    <w:lvlOverride w:ilvl="1"/>
    <w:lvlOverride w:ilvl="2"/>
    <w:lvlOverride w:ilvl="3"/>
    <w:lvlOverride w:ilvl="4"/>
    <w:lvlOverride w:ilvl="5"/>
    <w:lvlOverride w:ilvl="6"/>
    <w:lvlOverride w:ilvl="7"/>
    <w:lvlOverride w:ilvl="8"/>
  </w:num>
  <w:num w:numId="2" w16cid:durableId="93343605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50"/>
    <w:rsid w:val="00BD3C64"/>
    <w:rsid w:val="00F84D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41BC"/>
  <w15:chartTrackingRefBased/>
  <w15:docId w15:val="{C8BF356F-1010-4FBE-8F70-C331A8F0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D50"/>
    <w:pPr>
      <w:spacing w:after="0" w:line="240" w:lineRule="auto"/>
    </w:pPr>
    <w:rPr>
      <w:rFonts w:ascii="Aptos" w:hAnsi="Aptos" w:cs="Aptos"/>
      <w:kern w:val="0"/>
      <w:lang w:eastAsia="en-GB"/>
      <w14:ligatures w14:val="none"/>
    </w:rPr>
  </w:style>
  <w:style w:type="paragraph" w:styleId="Heading1">
    <w:name w:val="heading 1"/>
    <w:basedOn w:val="Normal"/>
    <w:next w:val="Normal"/>
    <w:link w:val="Heading1Char"/>
    <w:uiPriority w:val="9"/>
    <w:qFormat/>
    <w:rsid w:val="00F84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50"/>
    <w:rPr>
      <w:rFonts w:eastAsiaTheme="majorEastAsia" w:cstheme="majorBidi"/>
      <w:color w:val="272727" w:themeColor="text1" w:themeTint="D8"/>
    </w:rPr>
  </w:style>
  <w:style w:type="paragraph" w:styleId="Title">
    <w:name w:val="Title"/>
    <w:basedOn w:val="Normal"/>
    <w:next w:val="Normal"/>
    <w:link w:val="TitleChar"/>
    <w:uiPriority w:val="10"/>
    <w:qFormat/>
    <w:rsid w:val="00F84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50"/>
    <w:pPr>
      <w:spacing w:before="160"/>
      <w:jc w:val="center"/>
    </w:pPr>
    <w:rPr>
      <w:i/>
      <w:iCs/>
      <w:color w:val="404040" w:themeColor="text1" w:themeTint="BF"/>
    </w:rPr>
  </w:style>
  <w:style w:type="character" w:customStyle="1" w:styleId="QuoteChar">
    <w:name w:val="Quote Char"/>
    <w:basedOn w:val="DefaultParagraphFont"/>
    <w:link w:val="Quote"/>
    <w:uiPriority w:val="29"/>
    <w:rsid w:val="00F84D50"/>
    <w:rPr>
      <w:i/>
      <w:iCs/>
      <w:color w:val="404040" w:themeColor="text1" w:themeTint="BF"/>
    </w:rPr>
  </w:style>
  <w:style w:type="paragraph" w:styleId="ListParagraph">
    <w:name w:val="List Paragraph"/>
    <w:basedOn w:val="Normal"/>
    <w:uiPriority w:val="34"/>
    <w:qFormat/>
    <w:rsid w:val="00F84D50"/>
    <w:pPr>
      <w:ind w:left="720"/>
      <w:contextualSpacing/>
    </w:pPr>
  </w:style>
  <w:style w:type="character" w:styleId="IntenseEmphasis">
    <w:name w:val="Intense Emphasis"/>
    <w:basedOn w:val="DefaultParagraphFont"/>
    <w:uiPriority w:val="21"/>
    <w:qFormat/>
    <w:rsid w:val="00F84D50"/>
    <w:rPr>
      <w:i/>
      <w:iCs/>
      <w:color w:val="2F5496" w:themeColor="accent1" w:themeShade="BF"/>
    </w:rPr>
  </w:style>
  <w:style w:type="paragraph" w:styleId="IntenseQuote">
    <w:name w:val="Intense Quote"/>
    <w:basedOn w:val="Normal"/>
    <w:next w:val="Normal"/>
    <w:link w:val="IntenseQuoteChar"/>
    <w:uiPriority w:val="30"/>
    <w:qFormat/>
    <w:rsid w:val="00F84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D50"/>
    <w:rPr>
      <w:i/>
      <w:iCs/>
      <w:color w:val="2F5496" w:themeColor="accent1" w:themeShade="BF"/>
    </w:rPr>
  </w:style>
  <w:style w:type="character" w:styleId="IntenseReference">
    <w:name w:val="Intense Reference"/>
    <w:basedOn w:val="DefaultParagraphFont"/>
    <w:uiPriority w:val="32"/>
    <w:qFormat/>
    <w:rsid w:val="00F84D50"/>
    <w:rPr>
      <w:b/>
      <w:bCs/>
      <w:smallCaps/>
      <w:color w:val="2F5496" w:themeColor="accent1" w:themeShade="BF"/>
      <w:spacing w:val="5"/>
    </w:rPr>
  </w:style>
  <w:style w:type="character" w:styleId="Hyperlink">
    <w:name w:val="Hyperlink"/>
    <w:basedOn w:val="DefaultParagraphFont"/>
    <w:uiPriority w:val="99"/>
    <w:semiHidden/>
    <w:unhideWhenUsed/>
    <w:rsid w:val="00F84D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eliafrica.org/app/uploads/2024/03/AceliAfrica_Year3_LearningRepor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1119</Words>
  <Characters>6382</Characters>
  <Application>Microsoft Office Word</Application>
  <DocSecurity>0</DocSecurity>
  <Lines>53</Lines>
  <Paragraphs>14</Paragraphs>
  <ScaleCrop>false</ScaleCrop>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Nana Kwabena Agyei</dc:creator>
  <cp:keywords/>
  <dc:description/>
  <cp:lastModifiedBy>Eric Nana Kwabena Agyei</cp:lastModifiedBy>
  <cp:revision>1</cp:revision>
  <dcterms:created xsi:type="dcterms:W3CDTF">2026-06-12T05:42:00Z</dcterms:created>
  <dcterms:modified xsi:type="dcterms:W3CDTF">2026-06-12T05:43:00Z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b27313d9-0852-44bc-87e5-25ac904ed0cf</vt:lpwstr>
  </property>
</Properties>
</file>