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il" w:color="FFFFFF" w:sz="0"/>
          <w:left w:val="nil" w:color="FFFFFF" w:sz="0"/>
          <w:bottom w:val="nil" w:color="FFFFFF" w:sz="0"/>
          <w:right w:val="nil" w:color="FFFFFF" w:sz="0"/>
          <w:insideH w:val="nil" w:color="FFFFFF" w:sz="0"/>
          <w:insideV w:val="nil" w:color="FFFFFF" w:sz="0"/>
        </w:tblBorders>
        <w:tblLayout w:type="fixed"/>
      </w:tblPr>
      <w:tblGrid>
        <w:gridCol w:w="100"/>
      </w:tblGrid>
      <w:tr>
        <w:trPr>
          <w:trHeight w:val="16838" w:hRule="exact"/>
        </w:trPr>
        <w:tc>
          <w:tcPr>
            <w:tcBorders>
              <w:top w:val="nil" w:color="FFFFFF" w:sz="0"/>
              <w:left w:val="nil" w:color="FFFFFF" w:sz="0"/>
              <w:bottom w:val="nil" w:color="FFFFFF" w:sz="0"/>
              <w:right w:val="nil" w:color="FFFFFF" w:sz="0"/>
            </w:tcBorders>
            <w:shd w:fill="FFFFFF" w:val="clear"/>
            <w:vAlign w:val="top"/>
          </w:tcPr>
          <w:tbl>
            <w:tblPr>
              <w:tblW w:type="pct" w:w="100%"/>
              <w:tblBorders>
                <w:top w:val="nil" w:color="FFFFFF" w:sz="0"/>
                <w:left w:val="nil" w:color="FFFFFF" w:sz="0"/>
                <w:bottom w:val="nil" w:color="FFFFFF" w:sz="0"/>
                <w:right w:val="nil" w:color="FFFFFF" w:sz="0"/>
                <w:insideH w:val="nil" w:color="FFFFFF" w:sz="0"/>
                <w:insideV w:val="nil" w:color="FFFFFF" w:sz="0"/>
              </w:tblBorders>
              <w:tblLayout w:type="fixed"/>
            </w:tblPr>
            <w:tblGrid>
              <w:gridCol w:w="100"/>
            </w:tblGrid>
            <w:tr>
              <w:trPr>
                <w:trHeight w:val="8200" w:hRule="exact"/>
              </w:trPr>
              <w:tc>
                <w:tcPr>
                  <w:tcBorders>
                    <w:top w:val="nil" w:color="FFFFFF" w:sz="0"/>
                    <w:left w:val="nil" w:color="FFFFFF" w:sz="0"/>
                    <w:bottom w:val="nil" w:color="FFFFFF" w:sz="0"/>
                    <w:right w:val="nil" w:color="FFFFFF" w:sz="0"/>
                  </w:tcBorders>
                  <w:shd w:fill="1A2330" w:val="clear"/>
                  <w:tcMar>
                    <w:left w:type="dxa" w:w="1200"/>
                    <w:right w:type="dxa" w:w="800"/>
                  </w:tcMar>
                  <w:vAlign w:val="top"/>
                </w:tcPr>
                <w:p>
                  <w:pPr>
                    <w:spacing w:before="1800"/>
                  </w:pPr>
                </w:p>
                <w:p>
                  <w:pPr>
                    <w:spacing w:after="500"/>
                  </w:pPr>
                  <w:r>
                    <w:rPr>
                      <w:rFonts w:ascii="Calibri"/>
                      <w:color w:val="D4875A"/>
                      <w:spacing w:val="60"/>
                      <w:sz w:val="18"/>
                      <w:szCs w:val="18"/>
                    </w:rPr>
                    <w:t xml:space="preserve">A C E L I   A F R I C A</w:t>
                  </w:r>
                </w:p>
                <w:p>
                  <w:pPr>
                    <w:spacing w:after="100"/>
                  </w:pPr>
                  <w:r>
                    <w:rPr>
                      <w:rFonts w:ascii="Arial"/>
                      <w:b/>
                      <w:bCs/>
                      <w:color w:val="FFFFFF"/>
                      <w:sz w:val="80"/>
                      <w:szCs w:val="80"/>
                    </w:rPr>
                    <w:t xml:space="preserve">Master Budget,</w:t>
                  </w:r>
                </w:p>
                <w:p>
                  <w:pPr>
                    <w:spacing w:after="100"/>
                  </w:pPr>
                  <w:r>
                    <w:rPr>
                      <w:rFonts w:ascii="Arial"/>
                      <w:b/>
                      <w:bCs/>
                      <w:color w:val="FFFFFF"/>
                      <w:sz w:val="80"/>
                      <w:szCs w:val="80"/>
                    </w:rPr>
                    <w:t xml:space="preserve">Timeline &amp;</w:t>
                  </w:r>
                </w:p>
                <w:p>
                  <w:pPr>
                    <w:spacing w:after="200"/>
                  </w:pPr>
                  <w:r>
                    <w:rPr>
                      <w:rFonts w:ascii="Arial"/>
                      <w:b/>
                      <w:bCs/>
                      <w:color w:val="FFFFFF"/>
                      <w:sz w:val="80"/>
                      <w:szCs w:val="80"/>
                    </w:rPr>
                    <w:t xml:space="preserve">Costing</w:t>
                  </w:r>
                </w:p>
                <w:p>
                  <w:pPr>
                    <w:spacing w:after="100"/>
                  </w:pPr>
                  <w:r>
                    <w:rPr>
                      <w:rFonts w:ascii="Arial"/>
                      <w:color w:val="B0B8C0"/>
                      <w:sz w:val="24"/>
                      <w:szCs w:val="24"/>
                    </w:rPr>
                    <w:t xml:space="preserve">Aceli LAT — AI-Enabled Lender Activation Tool</w:t>
                  </w:r>
                </w:p>
              </w:tc>
            </w:tr>
          </w:tbl>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rPr>
                <w:trHeight w:val="60" w:hRule="exact"/>
              </w:trPr>
              <w:tc>
                <w:tcPr>
                  <w:tcBorders>
                    <w:top w:val="nil" w:color="FFFFFF" w:sz="0"/>
                    <w:left w:val="nil" w:color="FFFFFF" w:sz="0"/>
                    <w:bottom w:val="nil" w:color="FFFFFF" w:sz="0"/>
                    <w:right w:val="nil" w:color="FFFFFF" w:sz="0"/>
                  </w:tcBorders>
                  <w:shd w:fill="D4875A" w:val="clear"/>
                </w:tcPr>
                <w:p/>
              </w:tc>
            </w:tr>
          </w:tbl>
          <w:p>
            <w:pPr>
              <w:spacing w:before="800"/>
            </w:pPr>
          </w:p>
          <w:p>
            <w:pPr>
              <w:spacing w:after="100"/>
              <w:ind w:left="1200"/>
            </w:pPr>
            <w:r>
              <w:rPr>
                <w:rFonts w:ascii="Arial"/>
                <w:color w:val="90989F"/>
                <w:sz w:val="26"/>
                <w:szCs w:val="26"/>
              </w:rPr>
              <w:t xml:space="preserve">Rebid v2.0  |  Issued 19 June 2026</w:t>
            </w:r>
          </w:p>
          <w:p>
            <w:pPr>
              <w:spacing w:after="100"/>
              <w:ind w:left="1200"/>
            </w:pPr>
            <w:r>
              <w:rPr>
                <w:rFonts w:ascii="Arial"/>
                <w:color w:val="90989F"/>
                <w:sz w:val="26"/>
                <w:szCs w:val="26"/>
              </w:rPr>
              <w:t xml:space="preserve">Engagement Window: 06 July 2026 → 07 December 2026</w:t>
            </w:r>
          </w:p>
          <w:p>
            <w:pPr>
              <w:spacing w:after="100"/>
              <w:ind w:left="1200"/>
            </w:pPr>
            <w:r>
              <w:rPr>
                <w:rFonts w:ascii="Arial"/>
                <w:color w:val="90989F"/>
                <w:sz w:val="26"/>
                <w:szCs w:val="26"/>
              </w:rPr>
              <w:t xml:space="preserve">Total Fixed Price: USD $92,000 (6.7% under consortium reference bid)</w:t>
            </w:r>
          </w:p>
          <w:p>
            <w:pPr>
              <w:spacing w:after="100"/>
              <w:ind w:left="1200"/>
            </w:pPr>
            <w:r>
              <w:rPr>
                <w:rFonts w:ascii="Arial"/>
                <w:color w:val="90989F"/>
                <w:sz w:val="26"/>
                <w:szCs w:val="26"/>
              </w:rPr>
              <w:t xml:space="preserve">Currency: USD  |  Classification: Confidential</w:t>
            </w:r>
          </w:p>
          <w:p>
            <w:pPr>
              <w:spacing w:before="2400"/>
            </w:pPr>
          </w:p>
          <w:p>
            <w:pPr>
              <w:ind w:left="1200"/>
            </w:pPr>
            <w:r>
              <w:rPr>
                <w:rFonts w:ascii="Arial"/>
                <w:color w:val="909090"/>
                <w:sz w:val="22"/>
                <w:szCs w:val="22"/>
              </w:rPr>
              <w:t xml:space="preserve">Aceli Africa Master Budget</w:t>
            </w:r>
            <w:r>
              <w:t xml:space="preserve">          </w:t>
            </w:r>
            <w:r>
              <w:rPr>
                <w:rFonts w:ascii="Arial"/>
                <w:color w:val="909090"/>
                <w:sz w:val="22"/>
                <w:szCs w:val="22"/>
              </w:rPr>
              <w:t xml:space="preserve">Rebid v2.0</w:t>
            </w:r>
          </w:p>
        </w:tc>
      </w:tr>
    </w:tbl>
    <w:p>
      <w:pPr>
        <w:sectPr>
          <w:pgSz w:w="11906" w:h="16838" w:orient="portrait"/>
          <w:pgMar w:top="0" w:right="0" w:bottom="0" w:left="0" w:header="708" w:footer="708" w:gutter="0"/>
          <w:pgNumType/>
          <w:docGrid w:linePitch="360"/>
        </w:sectPr>
      </w:pPr>
    </w:p>
    <w:p>
      <w:pPr>
        <w:pStyle w:val="Heading1"/>
        <w:spacing w:after="200" w:before="360" w:line="312"/>
      </w:pPr>
      <w:r>
        <w:rPr>
          <w:rFonts w:ascii="Calibri" w:eastAsia="Microsoft YaHei"/>
          <w:b/>
          <w:bCs/>
          <w:color w:val="1A2330"/>
          <w:sz w:val="32"/>
          <w:szCs w:val="32"/>
        </w:rPr>
        <w:t xml:space="preserve">1. Executive Summary</w:t>
      </w:r>
    </w:p>
    <w:p>
      <w:pPr>
        <w:pStyle w:val="Heading2"/>
        <w:spacing w:after="120" w:before="240" w:line="312"/>
      </w:pPr>
      <w:r>
        <w:rPr>
          <w:rFonts w:ascii="Calibri" w:eastAsia="Microsoft YaHei"/>
          <w:b/>
          <w:bCs/>
          <w:color w:val="1A2330"/>
          <w:sz w:val="26"/>
          <w:szCs w:val="26"/>
        </w:rPr>
        <w:t xml:space="preserve">1.1 Engagement Overview</w:t>
      </w:r>
    </w:p>
    <w:p>
      <w:pPr>
        <w:spacing w:after="80" w:before="120" w:line="312"/>
        <w:jc w:val="both"/>
      </w:pPr>
      <w:r>
        <w:rPr>
          <w:rFonts w:ascii="Calibri" w:eastAsia="Microsoft YaHei"/>
          <w:b w:val="false"/>
          <w:bCs w:val="false"/>
          <w:i w:val="false"/>
          <w:iCs w:val="false"/>
          <w:color w:val="37352F"/>
          <w:sz w:val="22"/>
          <w:szCs w:val="22"/>
        </w:rPr>
        <w:t xml:space="preserve">This document presents the consolidated budget, development timeline, and costing breakdown for the Aceli Lender Activation Tool (LAT) — an AI-enabled lender relationship intelligence platform deployed across Aceli Africa’s smallholder lending programme. The engagement is structured as three sequential phases, Phase 0 through Phase 2, spanning twenty-two calendar weeks from 6 July 2026 through 7 December 2026. The total fixed price is ninety-two thousand US dollars, which is six point seven percent under the Goldstone consortium reference bid of ninety-eight thousand five hundred dollars. No separate contingency line is held; the consortium bears all cost-overrun risk within the fixed price.</w:t>
      </w:r>
    </w:p>
    <w:p>
      <w:pPr>
        <w:spacing w:after="80" w:before="120" w:line="312"/>
        <w:jc w:val="both"/>
      </w:pPr>
      <w:r>
        <w:rPr>
          <w:rFonts w:ascii="Calibri" w:eastAsia="Microsoft YaHei"/>
          <w:b w:val="false"/>
          <w:bCs w:val="false"/>
          <w:i w:val="false"/>
          <w:iCs w:val="false"/>
          <w:color w:val="37352F"/>
          <w:sz w:val="22"/>
          <w:szCs w:val="22"/>
        </w:rPr>
        <w:t xml:space="preserve">The engagement model is fixed-price milestone billing with five milestone payments, M1 through M5, tied to phase acceptance gates. The largest single milestone represents twenty-five percent of total value and is triggered at the Phase 1 end when the pilot goes live in the pilot country and the pilot KPI validation report is accepted. This structure provides Aceli Africa with predictable cash-flow commitments while incentivising the consortium to deliver on time and within scope, because cost overruns are absorbed by the vendor rather than billed as change orders.</w:t>
      </w:r>
    </w:p>
    <w:p>
      <w:pPr>
        <w:spacing w:after="80" w:before="120" w:line="312"/>
        <w:jc w:val="both"/>
      </w:pPr>
      <w:r>
        <w:rPr>
          <w:rFonts w:ascii="Calibri" w:eastAsia="Microsoft YaHei"/>
          <w:b w:val="false"/>
          <w:bCs w:val="false"/>
          <w:i w:val="false"/>
          <w:iCs w:val="false"/>
          <w:color w:val="37352F"/>
          <w:sz w:val="22"/>
          <w:szCs w:val="22"/>
        </w:rPr>
        <w:t xml:space="preserve">The named team is preserved from the Goldstone consortium proposal: Brian Jjemba as Team Lead and Business Process Specialist, Eric Agyei as Digital Transformation and FinTech Lead, Karthick Sivaraj as Solution Architect and AI Systems Lead, Joel Kapere as Full Stack Developer and Integration Specialist, Peace Akello as Change Management and Adoption Specialist, Ben Kasozi as MEL and Data Quality Specialist, and a dedicated QA and UI/UX support resource. Total commitment is two hundred fifteen person-days, fifteen fewer than the consortium reference, achieved through tighter phase execution and reuse of pre-built AI pod components.</w:t>
      </w:r>
    </w:p>
    <w:p>
      <w:pPr>
        <w:pStyle w:val="Heading2"/>
        <w:spacing w:after="120" w:before="240" w:line="312"/>
      </w:pPr>
      <w:r>
        <w:rPr>
          <w:rFonts w:ascii="Calibri" w:eastAsia="Microsoft YaHei"/>
          <w:b/>
          <w:bCs/>
          <w:color w:val="1A2330"/>
          <w:sz w:val="26"/>
          <w:szCs w:val="26"/>
        </w:rPr>
        <w:t xml:space="preserve">1.2 Headline Financials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0"/>
        <w:gridCol w:w="3500"/>
      </w:tblGrid>
      <w:tr>
        <w:trPr>
          <w:cantSplit/>
          <w:tblHeader/>
        </w:trPr>
        <w:tc>
          <w:tcPr>
            <w:shd w:fill="D4875A" w:val="clear"/>
            <w:tcMar>
              <w:top w:type="dxa" w:w="80"/>
              <w:left w:type="dxa" w:w="120"/>
              <w:bottom w:type="dxa" w:w="80"/>
              <w:right w:type="dxa" w:w="120"/>
            </w:tcMar>
          </w:tcPr>
          <w:p>
            <w:pPr>
              <w:spacing w:after="40" w:before="40" w:line="280"/>
              <w:jc w:val="left"/>
            </w:pPr>
            <w:r>
              <w:rPr>
                <w:rFonts w:ascii="Calibri" w:eastAsia="Microsoft YaHei"/>
                <w:b/>
                <w:bCs/>
                <w:color w:val="FFFFFF"/>
                <w:sz w:val="20"/>
                <w:szCs w:val="20"/>
              </w:rPr>
              <w:t xml:space="preserve">Metric</w:t>
            </w:r>
          </w:p>
        </w:tc>
        <w:tc>
          <w:tcPr>
            <w:shd w:fill="D4875A" w:val="clear"/>
            <w:tcMar>
              <w:top w:type="dxa" w:w="80"/>
              <w:left w:type="dxa" w:w="120"/>
              <w:bottom w:type="dxa" w:w="80"/>
              <w:right w:type="dxa" w:w="120"/>
            </w:tcMar>
          </w:tcPr>
          <w:p>
            <w:pPr>
              <w:spacing w:after="40" w:before="40" w:line="280"/>
              <w:jc w:val="left"/>
            </w:pPr>
            <w:r>
              <w:rPr>
                <w:rFonts w:ascii="Calibri" w:eastAsia="Microsoft YaHei"/>
                <w:b/>
                <w:bCs/>
                <w:color w:val="FFFFFF"/>
                <w:sz w:val="20"/>
                <w:szCs w:val="20"/>
              </w:rPr>
              <w:t xml:space="preserve">Value (USD)</w:t>
            </w:r>
          </w:p>
        </w:tc>
      </w:tr>
      <w:tr>
        <w:trPr>
          <w:cantSplit/>
          <w:tblHeader w:val="false"/>
        </w:trPr>
        <w:tc>
          <w:tcPr>
            <w:shd w:fill="FFFFFF" w:val="clear"/>
            <w:tcMar>
              <w:top w:type="dxa" w:w="80"/>
              <w:left w:type="dxa" w:w="120"/>
              <w:bottom w:type="dxa" w:w="80"/>
              <w:right w:type="dxa" w:w="120"/>
            </w:tcMar>
          </w:tcPr>
          <w:p>
            <w:pPr>
              <w:spacing w:after="40" w:before="40" w:line="280"/>
              <w:jc w:val="left"/>
            </w:pPr>
            <w:r>
              <w:rPr>
                <w:rFonts w:ascii="Calibri" w:eastAsia="Microsoft YaHei"/>
                <w:b/>
                <w:bCs/>
                <w:color w:val="37352F"/>
                <w:sz w:val="20"/>
                <w:szCs w:val="20"/>
              </w:rPr>
              <w:t xml:space="preserve">Workstream 1 — LAT Platform</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74,000</w:t>
            </w:r>
          </w:p>
        </w:tc>
      </w:tr>
      <w:tr>
        <w:trPr>
          <w:cantSplit/>
          <w:tblHeader w:val="false"/>
        </w:trPr>
        <w:tc>
          <w:tcPr>
            <w:shd w:fill="FFFFFF" w:val="clear"/>
            <w:tcMar>
              <w:top w:type="dxa" w:w="80"/>
              <w:left w:type="dxa" w:w="120"/>
              <w:bottom w:type="dxa" w:w="80"/>
              <w:right w:type="dxa" w:w="120"/>
            </w:tcMar>
          </w:tcPr>
          <w:p>
            <w:pPr>
              <w:spacing w:after="40" w:before="40" w:line="280"/>
              <w:jc w:val="left"/>
            </w:pPr>
            <w:r>
              <w:rPr>
                <w:rFonts w:ascii="Calibri" w:eastAsia="Microsoft YaHei"/>
                <w:b/>
                <w:bCs/>
                <w:color w:val="37352F"/>
                <w:sz w:val="20"/>
                <w:szCs w:val="20"/>
              </w:rPr>
              <w:t xml:space="preserve">Workstream 2 — AI Opportunity Assessment</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10,000</w:t>
            </w:r>
          </w:p>
        </w:tc>
      </w:tr>
      <w:tr>
        <w:trPr>
          <w:cantSplit/>
          <w:tblHeader w:val="false"/>
        </w:trPr>
        <w:tc>
          <w:tcPr>
            <w:shd w:fill="FFFFFF" w:val="clear"/>
            <w:tcMar>
              <w:top w:type="dxa" w:w="80"/>
              <w:left w:type="dxa" w:w="120"/>
              <w:bottom w:type="dxa" w:w="80"/>
              <w:right w:type="dxa" w:w="120"/>
            </w:tcMar>
          </w:tcPr>
          <w:p>
            <w:pPr>
              <w:spacing w:after="40" w:before="40" w:line="280"/>
              <w:jc w:val="left"/>
            </w:pPr>
            <w:r>
              <w:rPr>
                <w:rFonts w:ascii="Calibri" w:eastAsia="Microsoft YaHei"/>
                <w:b/>
                <w:bCs/>
                <w:color w:val="37352F"/>
                <w:sz w:val="20"/>
                <w:szCs w:val="20"/>
              </w:rPr>
              <w:t xml:space="preserve">PM, QA, Change Mgmt, Training, Warranty</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8,000</w:t>
            </w:r>
          </w:p>
        </w:tc>
      </w:tr>
      <w:tr>
        <w:trPr>
          <w:cantSplit/>
          <w:tblHeader w:val="false"/>
        </w:trPr>
        <w:tc>
          <w:tcPr>
            <w:shd w:fill="FFFFFF" w:val="clear"/>
            <w:tcMar>
              <w:top w:type="dxa" w:w="80"/>
              <w:left w:type="dxa" w:w="120"/>
              <w:bottom w:type="dxa" w:w="80"/>
              <w:right w:type="dxa" w:w="120"/>
            </w:tcMar>
          </w:tcPr>
          <w:p>
            <w:pPr>
              <w:spacing w:after="40" w:before="40" w:line="280"/>
              <w:jc w:val="left"/>
            </w:pPr>
            <w:r>
              <w:rPr>
                <w:rFonts w:ascii="Calibri" w:eastAsia="Microsoft YaHei"/>
                <w:b/>
                <w:bCs/>
                <w:color w:val="37352F"/>
                <w:sz w:val="20"/>
                <w:szCs w:val="20"/>
              </w:rPr>
              <w:t xml:space="preserve">TOTAL FIXED PRICE</w:t>
            </w:r>
          </w:p>
        </w:tc>
        <w:tc>
          <w:tcPr>
            <w:shd w:fill="FFFFFF" w:val="clear"/>
            <w:tcMar>
              <w:top w:type="dxa" w:w="80"/>
              <w:left w:type="dxa" w:w="120"/>
              <w:bottom w:type="dxa" w:w="80"/>
              <w:right w:type="dxa" w:w="120"/>
            </w:tcMar>
          </w:tcPr>
          <w:p>
            <w:pPr>
              <w:spacing w:after="40" w:before="40" w:line="280"/>
              <w:jc w:val="left"/>
            </w:pPr>
            <w:r>
              <w:rPr>
                <w:rFonts w:ascii="Calibri" w:eastAsia="Microsoft YaHei"/>
                <w:b/>
                <w:bCs/>
                <w:color w:val="37352F"/>
                <w:sz w:val="20"/>
                <w:szCs w:val="20"/>
              </w:rPr>
              <w:t xml:space="preserve">92,000</w:t>
            </w:r>
          </w:p>
        </w:tc>
      </w:tr>
      <w:tr>
        <w:trPr>
          <w:cantSplit/>
          <w:tblHeader w:val="false"/>
        </w:trPr>
        <w:tc>
          <w:tcPr>
            <w:shd w:fill="FFFFFF" w:val="clear"/>
            <w:tcMar>
              <w:top w:type="dxa" w:w="80"/>
              <w:left w:type="dxa" w:w="120"/>
              <w:bottom w:type="dxa" w:w="80"/>
              <w:right w:type="dxa" w:w="120"/>
            </w:tcMar>
          </w:tcPr>
          <w:p>
            <w:pPr>
              <w:spacing w:after="40" w:before="40" w:line="280"/>
              <w:jc w:val="left"/>
            </w:pPr>
            <w:r>
              <w:rPr>
                <w:rFonts w:ascii="Calibri" w:eastAsia="Microsoft YaHei"/>
                <w:b/>
                <w:bCs/>
                <w:color w:val="37352F"/>
                <w:sz w:val="20"/>
                <w:szCs w:val="20"/>
              </w:rPr>
              <w:t xml:space="preserve">Total Person-Days</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215</w:t>
            </w:r>
          </w:p>
        </w:tc>
      </w:tr>
      <w:tr>
        <w:trPr>
          <w:cantSplit/>
          <w:tblHeader w:val="false"/>
        </w:trPr>
        <w:tc>
          <w:tcPr>
            <w:shd w:fill="FFFFFF" w:val="clear"/>
            <w:tcMar>
              <w:top w:type="dxa" w:w="80"/>
              <w:left w:type="dxa" w:w="120"/>
              <w:bottom w:type="dxa" w:w="80"/>
              <w:right w:type="dxa" w:w="120"/>
            </w:tcMar>
          </w:tcPr>
          <w:p>
            <w:pPr>
              <w:spacing w:after="40" w:before="40" w:line="280"/>
              <w:jc w:val="left"/>
            </w:pPr>
            <w:r>
              <w:rPr>
                <w:rFonts w:ascii="Calibri" w:eastAsia="Microsoft YaHei"/>
                <w:b/>
                <w:bCs/>
                <w:color w:val="37352F"/>
                <w:sz w:val="20"/>
                <w:szCs w:val="20"/>
              </w:rPr>
              <w:t xml:space="preserve">Engagement Window (weeks)</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22</w:t>
            </w:r>
          </w:p>
        </w:tc>
      </w:tr>
      <w:tr>
        <w:trPr>
          <w:cantSplit/>
          <w:tblHeader w:val="false"/>
        </w:trPr>
        <w:tc>
          <w:tcPr>
            <w:shd w:fill="FFFFFF" w:val="clear"/>
            <w:tcMar>
              <w:top w:type="dxa" w:w="80"/>
              <w:left w:type="dxa" w:w="120"/>
              <w:bottom w:type="dxa" w:w="80"/>
              <w:right w:type="dxa" w:w="120"/>
            </w:tcMar>
          </w:tcPr>
          <w:p>
            <w:pPr>
              <w:spacing w:after="40" w:before="40" w:line="280"/>
              <w:jc w:val="left"/>
            </w:pPr>
            <w:r>
              <w:rPr>
                <w:rFonts w:ascii="Calibri" w:eastAsia="Microsoft YaHei"/>
                <w:b/>
                <w:bCs/>
                <w:color w:val="37352F"/>
                <w:sz w:val="20"/>
                <w:szCs w:val="20"/>
              </w:rPr>
              <w:t xml:space="preserve">Pilot Go-Live (week)</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11 (2 weeks earlier than reference)</w:t>
            </w:r>
          </w:p>
        </w:tc>
      </w:tr>
      <w:tr>
        <w:trPr>
          <w:cantSplit/>
          <w:tblHeader w:val="false"/>
        </w:trPr>
        <w:tc>
          <w:tcPr>
            <w:shd w:fill="FFFFFF" w:val="clear"/>
            <w:tcMar>
              <w:top w:type="dxa" w:w="80"/>
              <w:left w:type="dxa" w:w="120"/>
              <w:bottom w:type="dxa" w:w="80"/>
              <w:right w:type="dxa" w:w="120"/>
            </w:tcMar>
          </w:tcPr>
          <w:p>
            <w:pPr>
              <w:spacing w:after="40" w:before="40" w:line="280"/>
              <w:jc w:val="left"/>
            </w:pPr>
            <w:r>
              <w:rPr>
                <w:rFonts w:ascii="Calibri" w:eastAsia="Microsoft YaHei"/>
                <w:b/>
                <w:bCs/>
                <w:color w:val="37352F"/>
                <w:sz w:val="20"/>
                <w:szCs w:val="20"/>
              </w:rPr>
              <w:t xml:space="preserve">Wave 1 Complete (week)</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22 (4 weeks earlier than reference)</w:t>
            </w:r>
          </w:p>
        </w:tc>
      </w:tr>
    </w:tbl>
    <w:p>
      <w:pPr>
        <w:pStyle w:val="Heading2"/>
        <w:spacing w:after="120" w:before="240" w:line="312"/>
      </w:pPr>
      <w:r>
        <w:rPr>
          <w:rFonts w:ascii="Calibri" w:eastAsia="Microsoft YaHei"/>
          <w:b/>
          <w:bCs/>
          <w:color w:val="1A2330"/>
          <w:sz w:val="26"/>
          <w:szCs w:val="26"/>
        </w:rPr>
        <w:t xml:space="preserve">1.3 Strategic Cost Drivers</w:t>
      </w:r>
    </w:p>
    <w:p>
      <w:pPr>
        <w:spacing w:after="80" w:before="120" w:line="312"/>
        <w:jc w:val="both"/>
      </w:pPr>
      <w:r>
        <w:rPr>
          <w:rFonts w:ascii="Calibri" w:eastAsia="Microsoft YaHei"/>
          <w:b w:val="false"/>
          <w:bCs w:val="false"/>
          <w:i w:val="false"/>
          <w:iCs w:val="false"/>
          <w:color w:val="37352F"/>
          <w:sz w:val="22"/>
          <w:szCs w:val="22"/>
        </w:rPr>
        <w:t xml:space="preserve">Three structural decisions drive the budget: first, the team is a named consortium rather than a staff-augmentation pool, which fixes accountability and rate-card parity with the Goldstone proposal; second, the phase structure compresses the build pilot from nine weeks to eight by parallelising the capture module and AI draft workstreams, which is the single largest source of week savings; third, all third-party costs (LLM APIs, Salesforce API, cloud hosting, observability tooling, and field travel) are included in the fixed price, so Aceli has zero additional infrastructure cost during the engagement and a single point of commercial accountability.</w:t>
      </w:r>
    </w:p>
    <w:p>
      <w:pPr>
        <w:spacing w:after="80" w:before="120" w:line="312"/>
        <w:jc w:val="both"/>
      </w:pPr>
      <w:r>
        <w:rPr>
          <w:rFonts w:ascii="Calibri" w:eastAsia="Microsoft YaHei"/>
          <w:b w:val="false"/>
          <w:bCs w:val="false"/>
          <w:i w:val="false"/>
          <w:iCs w:val="false"/>
          <w:color w:val="37352F"/>
          <w:sz w:val="22"/>
          <w:szCs w:val="22"/>
        </w:rPr>
        <w:t xml:space="preserve">The bid additionally commits to three production-grade capabilities that the consortium reference proposal does not commit to. First, a multi-LLM abstraction layer with Claude as the primary provider and GPT-4o as fallback, avoiding Anthropic vendor lock-in and providing resilience against provider outages. Second, OpenTelemetry-native observability from Week 1, with error-budget tracking, PagerDuty integration, and a weekly SLO report to Aceli. Third, an offline-first Progressive Web App architecture using IndexedDB local queues and sync-on-reconnect, designed for the low-bandwidth field conditions encountered in country operations. These three commitments are priced into the fixed bid and require no additional line items.</w:t>
      </w:r>
    </w:p>
    <w:p>
      <w:pPr>
        <w:pStyle w:val="Heading1"/>
        <w:spacing w:after="200" w:before="360" w:line="312"/>
      </w:pPr>
      <w:r>
        <w:rPr>
          <w:rFonts w:ascii="Calibri" w:eastAsia="Microsoft YaHei"/>
          <w:b/>
          <w:bCs/>
          <w:color w:val="1A2330"/>
          <w:sz w:val="32"/>
          <w:szCs w:val="32"/>
        </w:rPr>
        <w:t xml:space="preserve">2. Phase-by-Phase Budget Breakdown</w:t>
      </w:r>
    </w:p>
    <w:p>
      <w:pPr>
        <w:pStyle w:val="Heading2"/>
        <w:spacing w:after="120" w:before="240" w:line="312"/>
      </w:pPr>
      <w:r>
        <w:rPr>
          <w:rFonts w:ascii="Calibri" w:eastAsia="Microsoft YaHei"/>
          <w:b/>
          <w:bCs/>
          <w:color w:val="1A2330"/>
          <w:sz w:val="26"/>
          <w:szCs w:val="26"/>
        </w:rPr>
        <w:t xml:space="preserve">2.1 Budget Allocation by Phase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2400"/>
        <w:gridCol w:w="700"/>
        <w:gridCol w:w="1200"/>
        <w:gridCol w:w="800"/>
        <w:gridCol w:w="800"/>
        <w:gridCol w:w="1200"/>
        <w:gridCol w:w="900"/>
        <w:gridCol w:w="1300"/>
      </w:tblGrid>
      <w:tr>
        <w:trPr>
          <w:cantSplit/>
          <w:tblHeader/>
        </w:trPr>
        <w:tc>
          <w:tcPr>
            <w:shd w:fill="D4875A" w:val="clear"/>
            <w:tcMar>
              <w:top w:type="dxa" w:w="80"/>
              <w:left w:type="dxa" w:w="120"/>
              <w:bottom w:type="dxa" w:w="80"/>
              <w:right w:type="dxa" w:w="120"/>
            </w:tcMar>
          </w:tcPr>
          <w:p>
            <w:pPr>
              <w:spacing w:after="40" w:before="40" w:line="280"/>
              <w:jc w:val="left"/>
            </w:pPr>
            <w:r>
              <w:rPr>
                <w:rFonts w:ascii="Calibri" w:eastAsia="Microsoft YaHei"/>
                <w:b/>
                <w:bCs/>
                <w:color w:val="FFFFFF"/>
                <w:sz w:val="20"/>
                <w:szCs w:val="20"/>
              </w:rPr>
              <w:t xml:space="preserve">Phase</w:t>
            </w:r>
          </w:p>
        </w:tc>
        <w:tc>
          <w:tcPr>
            <w:shd w:fill="D4875A" w:val="clear"/>
            <w:tcMar>
              <w:top w:type="dxa" w:w="80"/>
              <w:left w:type="dxa" w:w="120"/>
              <w:bottom w:type="dxa" w:w="80"/>
              <w:right w:type="dxa" w:w="120"/>
            </w:tcMar>
          </w:tcPr>
          <w:p>
            <w:pPr>
              <w:spacing w:after="40" w:before="40" w:line="280"/>
              <w:jc w:val="left"/>
            </w:pPr>
            <w:r>
              <w:rPr>
                <w:rFonts w:ascii="Calibri" w:eastAsia="Microsoft YaHei"/>
                <w:b/>
                <w:bCs/>
                <w:color w:val="FFFFFF"/>
                <w:sz w:val="20"/>
                <w:szCs w:val="20"/>
              </w:rPr>
              <w:t xml:space="preserve">Name</w:t>
            </w:r>
          </w:p>
        </w:tc>
        <w:tc>
          <w:tcPr>
            <w:shd w:fill="D4875A" w:val="clear"/>
            <w:tcMar>
              <w:top w:type="dxa" w:w="80"/>
              <w:left w:type="dxa" w:w="120"/>
              <w:bottom w:type="dxa" w:w="80"/>
              <w:right w:type="dxa" w:w="120"/>
            </w:tcMar>
          </w:tcPr>
          <w:p>
            <w:pPr>
              <w:spacing w:after="40" w:before="40" w:line="280"/>
              <w:jc w:val="left"/>
            </w:pPr>
            <w:r>
              <w:rPr>
                <w:rFonts w:ascii="Calibri" w:eastAsia="Microsoft YaHei"/>
                <w:b/>
                <w:bCs/>
                <w:color w:val="FFFFFF"/>
                <w:sz w:val="20"/>
                <w:szCs w:val="20"/>
              </w:rPr>
              <w:t xml:space="preserve">Weeks</w:t>
            </w:r>
          </w:p>
        </w:tc>
        <w:tc>
          <w:tcPr>
            <w:shd w:fill="D4875A" w:val="clear"/>
            <w:tcMar>
              <w:top w:type="dxa" w:w="80"/>
              <w:left w:type="dxa" w:w="120"/>
              <w:bottom w:type="dxa" w:w="80"/>
              <w:right w:type="dxa" w:w="120"/>
            </w:tcMar>
          </w:tcPr>
          <w:p>
            <w:pPr>
              <w:spacing w:after="40" w:before="40" w:line="280"/>
              <w:jc w:val="left"/>
            </w:pPr>
            <w:r>
              <w:rPr>
                <w:rFonts w:ascii="Calibri" w:eastAsia="Microsoft YaHei"/>
                <w:b/>
                <w:bCs/>
                <w:color w:val="FFFFFF"/>
                <w:sz w:val="20"/>
                <w:szCs w:val="20"/>
              </w:rPr>
              <w:t xml:space="preserve">Personnel</w:t>
            </w:r>
          </w:p>
        </w:tc>
        <w:tc>
          <w:tcPr>
            <w:shd w:fill="D4875A" w:val="clear"/>
            <w:tcMar>
              <w:top w:type="dxa" w:w="80"/>
              <w:left w:type="dxa" w:w="120"/>
              <w:bottom w:type="dxa" w:w="80"/>
              <w:right w:type="dxa" w:w="120"/>
            </w:tcMar>
          </w:tcPr>
          <w:p>
            <w:pPr>
              <w:spacing w:after="40" w:before="40" w:line="280"/>
              <w:jc w:val="left"/>
            </w:pPr>
            <w:r>
              <w:rPr>
                <w:rFonts w:ascii="Calibri" w:eastAsia="Microsoft YaHei"/>
                <w:b/>
                <w:bCs/>
                <w:color w:val="FFFFFF"/>
                <w:sz w:val="20"/>
                <w:szCs w:val="20"/>
              </w:rPr>
              <w:t xml:space="preserve">Infra</w:t>
            </w:r>
          </w:p>
        </w:tc>
        <w:tc>
          <w:tcPr>
            <w:shd w:fill="D4875A" w:val="clear"/>
            <w:tcMar>
              <w:top w:type="dxa" w:w="80"/>
              <w:left w:type="dxa" w:w="120"/>
              <w:bottom w:type="dxa" w:w="80"/>
              <w:right w:type="dxa" w:w="120"/>
            </w:tcMar>
          </w:tcPr>
          <w:p>
            <w:pPr>
              <w:spacing w:after="40" w:before="40" w:line="280"/>
              <w:jc w:val="left"/>
            </w:pPr>
            <w:r>
              <w:rPr>
                <w:rFonts w:ascii="Calibri" w:eastAsia="Microsoft YaHei"/>
                <w:b/>
                <w:bCs/>
                <w:color w:val="FFFFFF"/>
                <w:sz w:val="20"/>
                <w:szCs w:val="20"/>
              </w:rPr>
              <w:t xml:space="preserve">Tools</w:t>
            </w:r>
          </w:p>
        </w:tc>
        <w:tc>
          <w:tcPr>
            <w:shd w:fill="D4875A" w:val="clear"/>
            <w:tcMar>
              <w:top w:type="dxa" w:w="80"/>
              <w:left w:type="dxa" w:w="120"/>
              <w:bottom w:type="dxa" w:w="80"/>
              <w:right w:type="dxa" w:w="120"/>
            </w:tcMar>
          </w:tcPr>
          <w:p>
            <w:pPr>
              <w:spacing w:after="40" w:before="40" w:line="280"/>
              <w:jc w:val="left"/>
            </w:pPr>
            <w:r>
              <w:rPr>
                <w:rFonts w:ascii="Calibri" w:eastAsia="Microsoft YaHei"/>
                <w:b/>
                <w:bCs/>
                <w:color w:val="FFFFFF"/>
                <w:sz w:val="20"/>
                <w:szCs w:val="20"/>
              </w:rPr>
              <w:t xml:space="preserve">3rd-Party</w:t>
            </w:r>
          </w:p>
        </w:tc>
        <w:tc>
          <w:tcPr>
            <w:shd w:fill="D4875A" w:val="clear"/>
            <w:tcMar>
              <w:top w:type="dxa" w:w="80"/>
              <w:left w:type="dxa" w:w="120"/>
              <w:bottom w:type="dxa" w:w="80"/>
              <w:right w:type="dxa" w:w="120"/>
            </w:tcMar>
          </w:tcPr>
          <w:p>
            <w:pPr>
              <w:spacing w:after="40" w:before="40" w:line="280"/>
              <w:jc w:val="left"/>
            </w:pPr>
            <w:r>
              <w:rPr>
                <w:rFonts w:ascii="Calibri" w:eastAsia="Microsoft YaHei"/>
                <w:b/>
                <w:bCs/>
                <w:color w:val="FFFFFF"/>
                <w:sz w:val="20"/>
                <w:szCs w:val="20"/>
              </w:rPr>
              <w:t xml:space="preserve">Travel</w:t>
            </w:r>
          </w:p>
        </w:tc>
        <w:tc>
          <w:tcPr>
            <w:shd w:fill="D4875A" w:val="clear"/>
            <w:tcMar>
              <w:top w:type="dxa" w:w="80"/>
              <w:left w:type="dxa" w:w="120"/>
              <w:bottom w:type="dxa" w:w="80"/>
              <w:right w:type="dxa" w:w="120"/>
            </w:tcMar>
          </w:tcPr>
          <w:p>
            <w:pPr>
              <w:spacing w:after="40" w:before="40" w:line="280"/>
              <w:jc w:val="left"/>
            </w:pPr>
            <w:r>
              <w:rPr>
                <w:rFonts w:ascii="Calibri" w:eastAsia="Microsoft YaHei"/>
                <w:b/>
                <w:bCs/>
                <w:color w:val="FFFFFF"/>
                <w:sz w:val="20"/>
                <w:szCs w:val="20"/>
              </w:rPr>
              <w:t xml:space="preserve">Phase Total</w:t>
            </w:r>
          </w:p>
        </w:tc>
      </w:tr>
      <w:tr>
        <w:trPr>
          <w:cantSplit/>
          <w:tblHeader w:val="false"/>
        </w:trPr>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P0</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Discovery &amp; Solution Design</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4</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17,500</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600</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400</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0</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800</w:t>
            </w:r>
          </w:p>
        </w:tc>
        <w:tc>
          <w:tcPr>
            <w:shd w:fill="FFFFFF" w:val="clear"/>
            <w:tcMar>
              <w:top w:type="dxa" w:w="80"/>
              <w:left w:type="dxa" w:w="120"/>
              <w:bottom w:type="dxa" w:w="80"/>
              <w:right w:type="dxa" w:w="120"/>
            </w:tcMar>
          </w:tcPr>
          <w:p>
            <w:pPr>
              <w:spacing w:after="40" w:before="40" w:line="280"/>
              <w:jc w:val="left"/>
            </w:pPr>
            <w:r>
              <w:rPr>
                <w:rFonts w:ascii="Calibri" w:eastAsia="Microsoft YaHei"/>
                <w:b/>
                <w:bCs/>
                <w:color w:val="37352F"/>
                <w:sz w:val="20"/>
                <w:szCs w:val="20"/>
              </w:rPr>
              <w:t xml:space="preserve">19,300</w:t>
            </w:r>
          </w:p>
        </w:tc>
      </w:tr>
      <w:tr>
        <w:trPr>
          <w:cantSplit/>
          <w:tblHeader w:val="false"/>
        </w:trPr>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P1</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Build Pilot &amp; Pilot Go-Live</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8</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30,200</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1,700</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1,400</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5,000</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1,500</w:t>
            </w:r>
          </w:p>
        </w:tc>
        <w:tc>
          <w:tcPr>
            <w:shd w:fill="FFFFFF" w:val="clear"/>
            <w:tcMar>
              <w:top w:type="dxa" w:w="80"/>
              <w:left w:type="dxa" w:w="120"/>
              <w:bottom w:type="dxa" w:w="80"/>
              <w:right w:type="dxa" w:w="120"/>
            </w:tcMar>
          </w:tcPr>
          <w:p>
            <w:pPr>
              <w:spacing w:after="40" w:before="40" w:line="280"/>
              <w:jc w:val="left"/>
            </w:pPr>
            <w:r>
              <w:rPr>
                <w:rFonts w:ascii="Calibri" w:eastAsia="Microsoft YaHei"/>
                <w:b/>
                <w:bCs/>
                <w:color w:val="37352F"/>
                <w:sz w:val="20"/>
                <w:szCs w:val="20"/>
              </w:rPr>
              <w:t xml:space="preserve">39,800</w:t>
            </w:r>
          </w:p>
        </w:tc>
      </w:tr>
      <w:tr>
        <w:trPr>
          <w:cantSplit/>
          <w:tblHeader w:val="false"/>
        </w:trPr>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P2</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Wave 1 Rollout &amp; Hypercare</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10</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21,300</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1,500</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1,100</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5,500</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2,000</w:t>
            </w:r>
          </w:p>
        </w:tc>
        <w:tc>
          <w:tcPr>
            <w:shd w:fill="FFFFFF" w:val="clear"/>
            <w:tcMar>
              <w:top w:type="dxa" w:w="80"/>
              <w:left w:type="dxa" w:w="120"/>
              <w:bottom w:type="dxa" w:w="80"/>
              <w:right w:type="dxa" w:w="120"/>
            </w:tcMar>
          </w:tcPr>
          <w:p>
            <w:pPr>
              <w:spacing w:after="40" w:before="40" w:line="280"/>
              <w:jc w:val="left"/>
            </w:pPr>
            <w:r>
              <w:rPr>
                <w:rFonts w:ascii="Calibri" w:eastAsia="Microsoft YaHei"/>
                <w:b/>
                <w:bCs/>
                <w:color w:val="37352F"/>
                <w:sz w:val="20"/>
                <w:szCs w:val="20"/>
              </w:rPr>
              <w:t xml:space="preserve">31,400</w:t>
            </w:r>
          </w:p>
        </w:tc>
      </w:tr>
      <w:tr>
        <w:trPr>
          <w:cantSplit/>
          <w:tblHeader w:val="false"/>
        </w:trPr>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(Rounding adjustment)</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(600)</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0</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0</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0</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0</w:t>
            </w:r>
          </w:p>
        </w:tc>
        <w:tc>
          <w:tcPr>
            <w:shd w:fill="FFFFFF" w:val="clear"/>
            <w:tcMar>
              <w:top w:type="dxa" w:w="80"/>
              <w:left w:type="dxa" w:w="120"/>
              <w:bottom w:type="dxa" w:w="80"/>
              <w:right w:type="dxa" w:w="120"/>
            </w:tcMar>
          </w:tcPr>
          <w:p>
            <w:pPr>
              <w:spacing w:after="40" w:before="40" w:line="280"/>
              <w:jc w:val="left"/>
            </w:pPr>
            <w:r>
              <w:rPr>
                <w:rFonts w:ascii="Calibri" w:eastAsia="Microsoft YaHei"/>
                <w:b/>
                <w:bCs/>
                <w:color w:val="37352F"/>
                <w:sz w:val="20"/>
                <w:szCs w:val="20"/>
              </w:rPr>
              <w:t xml:space="preserve">1,500</w:t>
            </w:r>
          </w:p>
        </w:tc>
      </w:tr>
      <w:tr>
        <w:trPr>
          <w:cantSplit/>
          <w:tblHeader w:val="false"/>
        </w:trPr>
        <w:tc>
          <w:tcPr>
            <w:shd w:fill="FFFFFF" w:val="clear"/>
            <w:tcMar>
              <w:top w:type="dxa" w:w="80"/>
              <w:left w:type="dxa" w:w="120"/>
              <w:bottom w:type="dxa" w:w="80"/>
              <w:right w:type="dxa" w:w="120"/>
            </w:tcMar>
          </w:tcPr>
          <w:p>
            <w:pPr>
              <w:spacing w:after="40" w:before="40" w:line="280"/>
              <w:jc w:val="left"/>
            </w:pPr>
            <w:r>
              <w:rPr>
                <w:rFonts w:ascii="Calibri" w:eastAsia="Microsoft YaHei"/>
                <w:b/>
                <w:bCs/>
                <w:color w:val="37352F"/>
                <w:sz w:val="20"/>
                <w:szCs w:val="20"/>
              </w:rPr>
              <w:t xml:space="preserve">TOTAL</w:t>
            </w:r>
          </w:p>
        </w:tc>
        <w:tc>
          <w:tcPr>
            <w:shd w:fill="FFFFFF" w:val="clear"/>
            <w:tcMar>
              <w:top w:type="dxa" w:w="80"/>
              <w:left w:type="dxa" w:w="120"/>
              <w:bottom w:type="dxa" w:w="80"/>
              <w:right w:type="dxa" w:w="120"/>
            </w:tcMar>
          </w:tcPr>
          <w:p>
            <w:pPr>
              <w:spacing w:after="40" w:before="40" w:line="280"/>
              <w:jc w:val="left"/>
            </w:pPr>
            <w:r>
              <w:rPr>
                <w:rFonts w:ascii="Calibri" w:eastAsia="Microsoft YaHei"/>
                <w:b/>
                <w:bCs/>
                <w:color w:val="37352F"/>
                <w:sz w:val="20"/>
                <w:szCs w:val="20"/>
              </w:rPr>
              <w:t xml:space="preserve">All Phases</w:t>
            </w:r>
          </w:p>
        </w:tc>
        <w:tc>
          <w:tcPr>
            <w:shd w:fill="FFFFFF" w:val="clear"/>
            <w:tcMar>
              <w:top w:type="dxa" w:w="80"/>
              <w:left w:type="dxa" w:w="120"/>
              <w:bottom w:type="dxa" w:w="80"/>
              <w:right w:type="dxa" w:w="120"/>
            </w:tcMar>
          </w:tcPr>
          <w:p>
            <w:pPr>
              <w:spacing w:after="40" w:before="40" w:line="280"/>
              <w:jc w:val="left"/>
            </w:pPr>
            <w:r>
              <w:rPr>
                <w:rFonts w:ascii="Calibri" w:eastAsia="Microsoft YaHei"/>
                <w:b/>
                <w:bCs/>
                <w:color w:val="37352F"/>
                <w:sz w:val="20"/>
                <w:szCs w:val="20"/>
              </w:rPr>
              <w:t xml:space="preserve">22</w:t>
            </w:r>
          </w:p>
        </w:tc>
        <w:tc>
          <w:tcPr>
            <w:shd w:fill="FFFFFF" w:val="clear"/>
            <w:tcMar>
              <w:top w:type="dxa" w:w="80"/>
              <w:left w:type="dxa" w:w="120"/>
              <w:bottom w:type="dxa" w:w="80"/>
              <w:right w:type="dxa" w:w="120"/>
            </w:tcMar>
          </w:tcPr>
          <w:p>
            <w:pPr>
              <w:spacing w:after="40" w:before="40" w:line="280"/>
              <w:jc w:val="left"/>
            </w:pPr>
            <w:r>
              <w:rPr>
                <w:rFonts w:ascii="Calibri" w:eastAsia="Microsoft YaHei"/>
                <w:b/>
                <w:bCs/>
                <w:color w:val="37352F"/>
                <w:sz w:val="20"/>
                <w:szCs w:val="20"/>
              </w:rPr>
              <w:t xml:space="preserve">68,400</w:t>
            </w:r>
          </w:p>
        </w:tc>
        <w:tc>
          <w:tcPr>
            <w:shd w:fill="FFFFFF" w:val="clear"/>
            <w:tcMar>
              <w:top w:type="dxa" w:w="80"/>
              <w:left w:type="dxa" w:w="120"/>
              <w:bottom w:type="dxa" w:w="80"/>
              <w:right w:type="dxa" w:w="120"/>
            </w:tcMar>
          </w:tcPr>
          <w:p>
            <w:pPr>
              <w:spacing w:after="40" w:before="40" w:line="280"/>
              <w:jc w:val="left"/>
            </w:pPr>
            <w:r>
              <w:rPr>
                <w:rFonts w:ascii="Calibri" w:eastAsia="Microsoft YaHei"/>
                <w:b/>
                <w:bCs/>
                <w:color w:val="37352F"/>
                <w:sz w:val="20"/>
                <w:szCs w:val="20"/>
              </w:rPr>
              <w:t xml:space="preserve">3,800</w:t>
            </w:r>
          </w:p>
        </w:tc>
        <w:tc>
          <w:tcPr>
            <w:shd w:fill="FFFFFF" w:val="clear"/>
            <w:tcMar>
              <w:top w:type="dxa" w:w="80"/>
              <w:left w:type="dxa" w:w="120"/>
              <w:bottom w:type="dxa" w:w="80"/>
              <w:right w:type="dxa" w:w="120"/>
            </w:tcMar>
          </w:tcPr>
          <w:p>
            <w:pPr>
              <w:spacing w:after="40" w:before="40" w:line="280"/>
              <w:jc w:val="left"/>
            </w:pPr>
            <w:r>
              <w:rPr>
                <w:rFonts w:ascii="Calibri" w:eastAsia="Microsoft YaHei"/>
                <w:b/>
                <w:bCs/>
                <w:color w:val="37352F"/>
                <w:sz w:val="20"/>
                <w:szCs w:val="20"/>
              </w:rPr>
              <w:t xml:space="preserve">2,900</w:t>
            </w:r>
          </w:p>
        </w:tc>
        <w:tc>
          <w:tcPr>
            <w:shd w:fill="FFFFFF" w:val="clear"/>
            <w:tcMar>
              <w:top w:type="dxa" w:w="80"/>
              <w:left w:type="dxa" w:w="120"/>
              <w:bottom w:type="dxa" w:w="80"/>
              <w:right w:type="dxa" w:w="120"/>
            </w:tcMar>
          </w:tcPr>
          <w:p>
            <w:pPr>
              <w:spacing w:after="40" w:before="40" w:line="280"/>
              <w:jc w:val="left"/>
            </w:pPr>
            <w:r>
              <w:rPr>
                <w:rFonts w:ascii="Calibri" w:eastAsia="Microsoft YaHei"/>
                <w:b/>
                <w:bCs/>
                <w:color w:val="37352F"/>
                <w:sz w:val="20"/>
                <w:szCs w:val="20"/>
              </w:rPr>
              <w:t xml:space="preserve">10,500</w:t>
            </w:r>
          </w:p>
        </w:tc>
        <w:tc>
          <w:tcPr>
            <w:shd w:fill="FFFFFF" w:val="clear"/>
            <w:tcMar>
              <w:top w:type="dxa" w:w="80"/>
              <w:left w:type="dxa" w:w="120"/>
              <w:bottom w:type="dxa" w:w="80"/>
              <w:right w:type="dxa" w:w="120"/>
            </w:tcMar>
          </w:tcPr>
          <w:p>
            <w:pPr>
              <w:spacing w:after="40" w:before="40" w:line="280"/>
              <w:jc w:val="left"/>
            </w:pPr>
            <w:r>
              <w:rPr>
                <w:rFonts w:ascii="Calibri" w:eastAsia="Microsoft YaHei"/>
                <w:b/>
                <w:bCs/>
                <w:color w:val="37352F"/>
                <w:sz w:val="20"/>
                <w:szCs w:val="20"/>
              </w:rPr>
              <w:t xml:space="preserve">4,300</w:t>
            </w:r>
          </w:p>
        </w:tc>
        <w:tc>
          <w:tcPr>
            <w:shd w:fill="FFFFFF" w:val="clear"/>
            <w:tcMar>
              <w:top w:type="dxa" w:w="80"/>
              <w:left w:type="dxa" w:w="120"/>
              <w:bottom w:type="dxa" w:w="80"/>
              <w:right w:type="dxa" w:w="120"/>
            </w:tcMar>
          </w:tcPr>
          <w:p>
            <w:pPr>
              <w:spacing w:after="40" w:before="40" w:line="280"/>
              <w:jc w:val="left"/>
            </w:pPr>
            <w:r>
              <w:rPr>
                <w:rFonts w:ascii="Calibri" w:eastAsia="Microsoft YaHei"/>
                <w:b/>
                <w:bCs/>
                <w:color w:val="37352F"/>
                <w:sz w:val="20"/>
                <w:szCs w:val="20"/>
              </w:rPr>
              <w:t xml:space="preserve">92,000</w:t>
            </w:r>
          </w:p>
        </w:tc>
      </w:tr>
    </w:tbl>
    <w:p>
      <w:pPr>
        <w:pStyle w:val="Heading2"/>
        <w:spacing w:after="120" w:before="240" w:line="312"/>
      </w:pPr>
      <w:r>
        <w:rPr>
          <w:rFonts w:ascii="Calibri" w:eastAsia="Microsoft YaHei"/>
          <w:b/>
          <w:bCs/>
          <w:color w:val="1A2330"/>
          <w:sz w:val="26"/>
          <w:szCs w:val="26"/>
        </w:rPr>
        <w:t xml:space="preserve">2.2 Phase Cost Narrative</w:t>
      </w:r>
    </w:p>
    <w:p>
      <w:pPr>
        <w:pStyle w:val="Heading3"/>
        <w:spacing w:after="100" w:before="200" w:line="312"/>
      </w:pPr>
      <w:r>
        <w:rPr>
          <w:rFonts w:ascii="Calibri" w:eastAsia="Microsoft YaHei"/>
          <w:b/>
          <w:bCs/>
          <w:color w:val="1A2330"/>
          <w:sz w:val="22"/>
          <w:szCs w:val="22"/>
        </w:rPr>
        <w:t xml:space="preserve">2.2.1 Phase 0 — Discovery &amp; Solution Design ($19,300)</w:t>
      </w:r>
    </w:p>
    <w:p>
      <w:pPr>
        <w:spacing w:after="80" w:before="120" w:line="312"/>
        <w:jc w:val="both"/>
      </w:pPr>
      <w:r>
        <w:rPr>
          <w:rFonts w:ascii="Calibri" w:eastAsia="Microsoft YaHei"/>
          <w:b w:val="false"/>
          <w:bCs w:val="false"/>
          <w:i w:val="false"/>
          <w:iCs w:val="false"/>
          <w:color w:val="37352F"/>
          <w:sz w:val="22"/>
          <w:szCs w:val="22"/>
        </w:rPr>
        <w:t xml:space="preserve">Phase 0 covers the first four weeks of the engagement, from 6 July through 31 July 2026. The phase is intentionally discovery-heavy rather than code-heavy. The team maps the current LAT workflow end to end, baselines the current reconciliation burden across the Lender Activation Working Group, reviews the Google Sheets structure, inspects the Salesforce data model, confirms the benchmarking pathway, and runs a design sprint with country-team representatives and the Product Design team. The phase also defines role-based access patterns, offline conditions, exception-handling rules, pilot-country selection criteria, and the exact approval logic for write-back.</w:t>
      </w:r>
    </w:p>
    <w:p>
      <w:pPr>
        <w:spacing w:after="80" w:before="120" w:line="312"/>
        <w:jc w:val="both"/>
      </w:pPr>
      <w:r>
        <w:rPr>
          <w:rFonts w:ascii="Calibri" w:eastAsia="Microsoft YaHei"/>
          <w:b w:val="false"/>
          <w:bCs w:val="false"/>
          <w:i w:val="false"/>
          <w:iCs w:val="false"/>
          <w:color w:val="37352F"/>
          <w:sz w:val="22"/>
          <w:szCs w:val="22"/>
        </w:rPr>
        <w:t xml:space="preserve">The most important output of this phase is not just an architecture diagram. It is a signed solution design that links business outcomes to measurable system behaviour: which user actions will reduce reconciliation time, which data elements will be migrated, which fields will be AI-suggested versus manually entered, which review decisions will be logged, and how pilot success will be evidenced by Week 11. Three additional deliverables beyond the consortium reference are committed here: an interactive Figma clickable prototype, a Threat Model, and a Data Flow Diagram. The phase concludes with Milestone M1 and the first invoice of $13,800.</w:t>
      </w:r>
    </w:p>
    <w:p>
      <w:pPr>
        <w:pStyle w:val="Heading3"/>
        <w:spacing w:after="100" w:before="200" w:line="312"/>
      </w:pPr>
      <w:r>
        <w:rPr>
          <w:rFonts w:ascii="Calibri" w:eastAsia="Microsoft YaHei"/>
          <w:b/>
          <w:bCs/>
          <w:color w:val="1A2330"/>
          <w:sz w:val="22"/>
          <w:szCs w:val="22"/>
        </w:rPr>
        <w:t xml:space="preserve">2.2.2 Phase 1 — Build Pilot &amp; Pilot Go-Live ($39,800)</w:t>
      </w:r>
    </w:p>
    <w:p>
      <w:pPr>
        <w:spacing w:after="80" w:before="120" w:line="312"/>
        <w:jc w:val="both"/>
      </w:pPr>
      <w:r>
        <w:rPr>
          <w:rFonts w:ascii="Calibri" w:eastAsia="Microsoft YaHei"/>
          <w:b w:val="false"/>
          <w:bCs w:val="false"/>
          <w:i w:val="false"/>
          <w:iCs w:val="false"/>
          <w:color w:val="37352F"/>
          <w:sz w:val="22"/>
          <w:szCs w:val="22"/>
        </w:rPr>
        <w:t xml:space="preserve">Phase 1 covers eight weeks from 3 August through 25 September 2026 and is the most cost-intensive phase at forty-three percent of total budget. The pilot build prioritises the shortest path to a controlled operational gain: lender profile access, voice and text capture, transcription, structured extraction into the six activation areas, reviewer approval, Salesforce write-back for agreed fields, and audit logging. Nice-to-have capabilities are not allowed to delay the minimum workflow required to demonstrate that Aceli can reduce reconciliation effort and improve activation visibility within the pilot country.</w:t>
      </w:r>
    </w:p>
    <w:p>
      <w:pPr>
        <w:spacing w:after="80" w:before="120" w:line="312"/>
        <w:jc w:val="both"/>
      </w:pPr>
      <w:r>
        <w:rPr>
          <w:rFonts w:ascii="Calibri" w:eastAsia="Microsoft YaHei"/>
          <w:b w:val="false"/>
          <w:bCs w:val="false"/>
          <w:i w:val="false"/>
          <w:iCs w:val="false"/>
          <w:color w:val="37352F"/>
          <w:sz w:val="22"/>
          <w:szCs w:val="22"/>
        </w:rPr>
        <w:t xml:space="preserve">A rapid test-and-learn cadence is maintained throughout this phase. Weekly user testing with the pilot country team validates transcription quality, extraction accuracy, field usability, synchronisation behaviour in low-bandwidth conditions, and the usefulness of prompts and recommendations. The objective is not abstract model performance; rather, it is dependable and practical usage within live country-team operations. Phase 1 concludes with two milestones: M2 at end of Week 8 ($18,400) when the LAT beta reaches pilot-country hands, and M3 at end of Week 11 ($23,000) when the pilot goes live and the pilot KPI validation report is accepted.</w:t>
      </w:r>
    </w:p>
    <w:p>
      <w:pPr>
        <w:pStyle w:val="Heading3"/>
        <w:spacing w:after="100" w:before="200" w:line="312"/>
      </w:pPr>
      <w:r>
        <w:rPr>
          <w:rFonts w:ascii="Calibri" w:eastAsia="Microsoft YaHei"/>
          <w:b/>
          <w:bCs/>
          <w:color w:val="1A2330"/>
          <w:sz w:val="22"/>
          <w:szCs w:val="22"/>
        </w:rPr>
        <w:t xml:space="preserve">2.2.3 Phase 2 — Wave 1 Rollout &amp; Hypercare ($31,400)</w:t>
      </w:r>
    </w:p>
    <w:p>
      <w:pPr>
        <w:spacing w:after="80" w:before="120" w:line="312"/>
        <w:jc w:val="both"/>
      </w:pPr>
      <w:r>
        <w:rPr>
          <w:rFonts w:ascii="Calibri" w:eastAsia="Microsoft YaHei"/>
          <w:b w:val="false"/>
          <w:bCs w:val="false"/>
          <w:i w:val="false"/>
          <w:iCs w:val="false"/>
          <w:color w:val="37352F"/>
          <w:sz w:val="22"/>
          <w:szCs w:val="22"/>
        </w:rPr>
        <w:t xml:space="preserve">Phase 2 covers ten weeks from 28 September through 7 December 2026 and applies lessons learned from the pilot rather than replicating it unchanged. Country-specific onboarding, training, data migration, and support are sequenced according to readiness while preserving a single governed architecture and common review model. The objective is to achieve weekly active use across all five countries and a fully operational bidirectional Salesforce synchronisation by Week 22, four weeks earlier than the consortium reference plan.</w:t>
      </w:r>
    </w:p>
    <w:p>
      <w:pPr>
        <w:spacing w:after="80" w:before="120" w:line="312"/>
        <w:jc w:val="both"/>
      </w:pPr>
      <w:r>
        <w:rPr>
          <w:rFonts w:ascii="Calibri" w:eastAsia="Microsoft YaHei"/>
          <w:b w:val="false"/>
          <w:bCs w:val="false"/>
          <w:i w:val="false"/>
          <w:iCs w:val="false"/>
          <w:color w:val="37352F"/>
          <w:sz w:val="22"/>
          <w:szCs w:val="22"/>
        </w:rPr>
        <w:t xml:space="preserve">Training is treated as a core delivery workstream rather than a side activity. Country teams, HQ users, the Lender Activation Working Group, and the product owner receive role-specific enablement covering not only how to use the platform, but also how to interpret AI-generated recommendations, when to override them, and how to manage exceptions. Phase 2 concludes with two milestones: M4 at end of Week 17 ($18,400) when Wave 1 Country 2 and 3 are live, and M5 at end of Week 22 ($18,400) when Wave 1 is complete, bidirectional Salesforce sync is operational, and the thirty-day hypercare window begins.</w:t>
      </w:r>
    </w:p>
    <w:p>
      <w:pPr>
        <w:pStyle w:val="Heading1"/>
        <w:spacing w:after="200" w:before="360" w:line="312"/>
      </w:pPr>
      <w:r>
        <w:rPr>
          <w:rFonts w:ascii="Calibri" w:eastAsia="Microsoft YaHei"/>
          <w:b/>
          <w:bCs/>
          <w:color w:val="1A2330"/>
          <w:sz w:val="32"/>
          <w:szCs w:val="32"/>
        </w:rPr>
        <w:t xml:space="preserve">3. Resource Costing</w:t>
      </w:r>
    </w:p>
    <w:p>
      <w:pPr>
        <w:pStyle w:val="Heading2"/>
        <w:spacing w:after="120" w:before="240" w:line="312"/>
      </w:pPr>
      <w:r>
        <w:rPr>
          <w:rFonts w:ascii="Calibri" w:eastAsia="Microsoft YaHei"/>
          <w:b/>
          <w:bCs/>
          <w:color w:val="1A2330"/>
          <w:sz w:val="26"/>
          <w:szCs w:val="26"/>
        </w:rPr>
        <w:t xml:space="preserve">3.1 Named Team Rate Card</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2200"/>
        <w:gridCol w:w="1100"/>
        <w:gridCol w:w="800"/>
        <w:gridCol w:w="800"/>
        <w:gridCol w:w="800"/>
        <w:gridCol w:w="900"/>
        <w:gridCol w:w="1100"/>
      </w:tblGrid>
      <w:tr>
        <w:trPr>
          <w:cantSplit/>
          <w:tblHeader/>
        </w:trPr>
        <w:tc>
          <w:tcPr>
            <w:shd w:fill="D4875A" w:val="clear"/>
            <w:tcMar>
              <w:top w:type="dxa" w:w="80"/>
              <w:left w:type="dxa" w:w="120"/>
              <w:bottom w:type="dxa" w:w="80"/>
              <w:right w:type="dxa" w:w="120"/>
            </w:tcMar>
          </w:tcPr>
          <w:p>
            <w:pPr>
              <w:spacing w:after="40" w:before="40" w:line="280"/>
              <w:jc w:val="left"/>
            </w:pPr>
            <w:r>
              <w:rPr>
                <w:rFonts w:ascii="Calibri" w:eastAsia="Microsoft YaHei"/>
                <w:b/>
                <w:bCs/>
                <w:color w:val="FFFFFF"/>
                <w:sz w:val="20"/>
                <w:szCs w:val="20"/>
              </w:rPr>
              <w:t xml:space="preserve">Team Member</w:t>
            </w:r>
          </w:p>
        </w:tc>
        <w:tc>
          <w:tcPr>
            <w:shd w:fill="D4875A" w:val="clear"/>
            <w:tcMar>
              <w:top w:type="dxa" w:w="80"/>
              <w:left w:type="dxa" w:w="120"/>
              <w:bottom w:type="dxa" w:w="80"/>
              <w:right w:type="dxa" w:w="120"/>
            </w:tcMar>
          </w:tcPr>
          <w:p>
            <w:pPr>
              <w:spacing w:after="40" w:before="40" w:line="280"/>
              <w:jc w:val="left"/>
            </w:pPr>
            <w:r>
              <w:rPr>
                <w:rFonts w:ascii="Calibri" w:eastAsia="Microsoft YaHei"/>
                <w:b/>
                <w:bCs/>
                <w:color w:val="FFFFFF"/>
                <w:sz w:val="20"/>
                <w:szCs w:val="20"/>
              </w:rPr>
              <w:t xml:space="preserve">Role</w:t>
            </w:r>
          </w:p>
        </w:tc>
        <w:tc>
          <w:tcPr>
            <w:shd w:fill="D4875A" w:val="clear"/>
            <w:tcMar>
              <w:top w:type="dxa" w:w="80"/>
              <w:left w:type="dxa" w:w="120"/>
              <w:bottom w:type="dxa" w:w="80"/>
              <w:right w:type="dxa" w:w="120"/>
            </w:tcMar>
          </w:tcPr>
          <w:p>
            <w:pPr>
              <w:spacing w:after="40" w:before="40" w:line="280"/>
              <w:jc w:val="left"/>
            </w:pPr>
            <w:r>
              <w:rPr>
                <w:rFonts w:ascii="Calibri" w:eastAsia="Microsoft YaHei"/>
                <w:b/>
                <w:bCs/>
                <w:color w:val="FFFFFF"/>
                <w:sz w:val="20"/>
                <w:szCs w:val="20"/>
              </w:rPr>
              <w:t xml:space="preserve">Day Rate (USD)</w:t>
            </w:r>
          </w:p>
        </w:tc>
        <w:tc>
          <w:tcPr>
            <w:shd w:fill="D4875A" w:val="clear"/>
            <w:tcMar>
              <w:top w:type="dxa" w:w="80"/>
              <w:left w:type="dxa" w:w="120"/>
              <w:bottom w:type="dxa" w:w="80"/>
              <w:right w:type="dxa" w:w="120"/>
            </w:tcMar>
          </w:tcPr>
          <w:p>
            <w:pPr>
              <w:spacing w:after="40" w:before="40" w:line="280"/>
              <w:jc w:val="left"/>
            </w:pPr>
            <w:r>
              <w:rPr>
                <w:rFonts w:ascii="Calibri" w:eastAsia="Microsoft YaHei"/>
                <w:b/>
                <w:bCs/>
                <w:color w:val="FFFFFF"/>
                <w:sz w:val="20"/>
                <w:szCs w:val="20"/>
              </w:rPr>
              <w:t xml:space="preserve">Days (P0)</w:t>
            </w:r>
          </w:p>
        </w:tc>
        <w:tc>
          <w:tcPr>
            <w:shd w:fill="D4875A" w:val="clear"/>
            <w:tcMar>
              <w:top w:type="dxa" w:w="80"/>
              <w:left w:type="dxa" w:w="120"/>
              <w:bottom w:type="dxa" w:w="80"/>
              <w:right w:type="dxa" w:w="120"/>
            </w:tcMar>
          </w:tcPr>
          <w:p>
            <w:pPr>
              <w:spacing w:after="40" w:before="40" w:line="280"/>
              <w:jc w:val="left"/>
            </w:pPr>
            <w:r>
              <w:rPr>
                <w:rFonts w:ascii="Calibri" w:eastAsia="Microsoft YaHei"/>
                <w:b/>
                <w:bCs/>
                <w:color w:val="FFFFFF"/>
                <w:sz w:val="20"/>
                <w:szCs w:val="20"/>
              </w:rPr>
              <w:t xml:space="preserve">Days (P1)</w:t>
            </w:r>
          </w:p>
        </w:tc>
        <w:tc>
          <w:tcPr>
            <w:shd w:fill="D4875A" w:val="clear"/>
            <w:tcMar>
              <w:top w:type="dxa" w:w="80"/>
              <w:left w:type="dxa" w:w="120"/>
              <w:bottom w:type="dxa" w:w="80"/>
              <w:right w:type="dxa" w:w="120"/>
            </w:tcMar>
          </w:tcPr>
          <w:p>
            <w:pPr>
              <w:spacing w:after="40" w:before="40" w:line="280"/>
              <w:jc w:val="left"/>
            </w:pPr>
            <w:r>
              <w:rPr>
                <w:rFonts w:ascii="Calibri" w:eastAsia="Microsoft YaHei"/>
                <w:b/>
                <w:bCs/>
                <w:color w:val="FFFFFF"/>
                <w:sz w:val="20"/>
                <w:szCs w:val="20"/>
              </w:rPr>
              <w:t xml:space="preserve">Days (P2)</w:t>
            </w:r>
          </w:p>
        </w:tc>
        <w:tc>
          <w:tcPr>
            <w:shd w:fill="D4875A" w:val="clear"/>
            <w:tcMar>
              <w:top w:type="dxa" w:w="80"/>
              <w:left w:type="dxa" w:w="120"/>
              <w:bottom w:type="dxa" w:w="80"/>
              <w:right w:type="dxa" w:w="120"/>
            </w:tcMar>
          </w:tcPr>
          <w:p>
            <w:pPr>
              <w:spacing w:after="40" w:before="40" w:line="280"/>
              <w:jc w:val="left"/>
            </w:pPr>
            <w:r>
              <w:rPr>
                <w:rFonts w:ascii="Calibri" w:eastAsia="Microsoft YaHei"/>
                <w:b/>
                <w:bCs/>
                <w:color w:val="FFFFFF"/>
                <w:sz w:val="20"/>
                <w:szCs w:val="20"/>
              </w:rPr>
              <w:t xml:space="preserve">Total Days</w:t>
            </w:r>
          </w:p>
        </w:tc>
        <w:tc>
          <w:tcPr>
            <w:shd w:fill="D4875A" w:val="clear"/>
            <w:tcMar>
              <w:top w:type="dxa" w:w="80"/>
              <w:left w:type="dxa" w:w="120"/>
              <w:bottom w:type="dxa" w:w="80"/>
              <w:right w:type="dxa" w:w="120"/>
            </w:tcMar>
          </w:tcPr>
          <w:p>
            <w:pPr>
              <w:spacing w:after="40" w:before="40" w:line="280"/>
              <w:jc w:val="left"/>
            </w:pPr>
            <w:r>
              <w:rPr>
                <w:rFonts w:ascii="Calibri" w:eastAsia="Microsoft YaHei"/>
                <w:b/>
                <w:bCs/>
                <w:color w:val="FFFFFF"/>
                <w:sz w:val="20"/>
                <w:szCs w:val="20"/>
              </w:rPr>
              <w:t xml:space="preserve">Subtotal (USD)</w:t>
            </w:r>
          </w:p>
        </w:tc>
      </w:tr>
      <w:tr>
        <w:trPr>
          <w:cantSplit/>
          <w:tblHeader w:val="false"/>
        </w:trPr>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Brian Jjemba</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Team Lead / Business Process</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650</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8</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14</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13</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35</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22,750</w:t>
            </w:r>
          </w:p>
        </w:tc>
      </w:tr>
      <w:tr>
        <w:trPr>
          <w:cantSplit/>
          <w:tblHeader w:val="false"/>
        </w:trPr>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Eric Agyei</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Digital Transformation &amp; FinTech</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600</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5</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9</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4</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18</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10,800</w:t>
            </w:r>
          </w:p>
        </w:tc>
      </w:tr>
      <w:tr>
        <w:trPr>
          <w:cantSplit/>
          <w:tblHeader w:val="false"/>
        </w:trPr>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Karthick Sivaraj</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Solution Architect &amp; AI Lead</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700</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14</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22</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14</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50</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35,000</w:t>
            </w:r>
          </w:p>
        </w:tc>
      </w:tr>
      <w:tr>
        <w:trPr>
          <w:cantSplit/>
          <w:tblHeader w:val="false"/>
        </w:trPr>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Joel Kapere</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Full Stack &amp; Integration</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450</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10</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32</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18</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60</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27,000</w:t>
            </w:r>
          </w:p>
        </w:tc>
      </w:tr>
      <w:tr>
        <w:trPr>
          <w:cantSplit/>
          <w:tblHeader w:val="false"/>
        </w:trPr>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Peace Akello</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Change Mgmt &amp; Adoption</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500</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6</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7</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9</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22</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11,000</w:t>
            </w:r>
          </w:p>
        </w:tc>
      </w:tr>
      <w:tr>
        <w:trPr>
          <w:cantSplit/>
          <w:tblHeader w:val="false"/>
        </w:trPr>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Ben Kasozi</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MEL &amp; Data Quality</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450</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6</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6</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6</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18</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8,100</w:t>
            </w:r>
          </w:p>
        </w:tc>
      </w:tr>
      <w:tr>
        <w:trPr>
          <w:cantSplit/>
          <w:tblHeader w:val="false"/>
        </w:trPr>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QA / UI-UX Support</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QA, UI-UX, Accessibility</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400</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4</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7</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6</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17</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6,800</w:t>
            </w:r>
          </w:p>
        </w:tc>
      </w:tr>
      <w:tr>
        <w:trPr>
          <w:cantSplit/>
          <w:tblHeader w:val="false"/>
        </w:trPr>
        <w:tc>
          <w:tcPr>
            <w:shd w:fill="FFFFFF" w:val="clear"/>
            <w:tcMar>
              <w:top w:type="dxa" w:w="80"/>
              <w:left w:type="dxa" w:w="120"/>
              <w:bottom w:type="dxa" w:w="80"/>
              <w:right w:type="dxa" w:w="120"/>
            </w:tcMar>
          </w:tcPr>
          <w:p>
            <w:pPr>
              <w:spacing w:after="40" w:before="40" w:line="280"/>
              <w:jc w:val="left"/>
            </w:pPr>
            <w:r>
              <w:rPr>
                <w:rFonts w:ascii="Calibri" w:eastAsia="Microsoft YaHei"/>
                <w:b/>
                <w:bCs/>
                <w:color w:val="37352F"/>
                <w:sz w:val="20"/>
                <w:szCs w:val="20"/>
              </w:rPr>
              <w:t xml:space="preserve">GROSS RESOURCE COST</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
            </w:r>
          </w:p>
        </w:tc>
        <w:tc>
          <w:tcPr>
            <w:shd w:fill="FFFFFF" w:val="clear"/>
            <w:tcMar>
              <w:top w:type="dxa" w:w="80"/>
              <w:left w:type="dxa" w:w="120"/>
              <w:bottom w:type="dxa" w:w="80"/>
              <w:right w:type="dxa" w:w="120"/>
            </w:tcMar>
          </w:tcPr>
          <w:p>
            <w:pPr>
              <w:spacing w:after="40" w:before="40" w:line="280"/>
              <w:jc w:val="left"/>
            </w:pPr>
            <w:r>
              <w:rPr>
                <w:rFonts w:ascii="Calibri" w:eastAsia="Microsoft YaHei"/>
                <w:b/>
                <w:bCs/>
                <w:color w:val="37352F"/>
                <w:sz w:val="20"/>
                <w:szCs w:val="20"/>
              </w:rPr>
              <w:t xml:space="preserve">220</w:t>
            </w:r>
          </w:p>
        </w:tc>
        <w:tc>
          <w:tcPr>
            <w:shd w:fill="FFFFFF" w:val="clear"/>
            <w:tcMar>
              <w:top w:type="dxa" w:w="80"/>
              <w:left w:type="dxa" w:w="120"/>
              <w:bottom w:type="dxa" w:w="80"/>
              <w:right w:type="dxa" w:w="120"/>
            </w:tcMar>
          </w:tcPr>
          <w:p>
            <w:pPr>
              <w:spacing w:after="40" w:before="40" w:line="280"/>
              <w:jc w:val="left"/>
            </w:pPr>
            <w:r>
              <w:rPr>
                <w:rFonts w:ascii="Calibri" w:eastAsia="Microsoft YaHei"/>
                <w:b/>
                <w:bCs/>
                <w:color w:val="37352F"/>
                <w:sz w:val="20"/>
                <w:szCs w:val="20"/>
              </w:rPr>
              <w:t xml:space="preserve">121,450</w:t>
            </w:r>
          </w:p>
        </w:tc>
      </w:tr>
      <w:tr>
        <w:trPr>
          <w:cantSplit/>
          <w:tblHeader w:val="false"/>
        </w:trPr>
        <w:tc>
          <w:tcPr>
            <w:shd w:fill="FFFFFF" w:val="clear"/>
            <w:tcMar>
              <w:top w:type="dxa" w:w="80"/>
              <w:left w:type="dxa" w:w="120"/>
              <w:bottom w:type="dxa" w:w="80"/>
              <w:right w:type="dxa" w:w="120"/>
            </w:tcMar>
          </w:tcPr>
          <w:p>
            <w:pPr>
              <w:spacing w:after="40" w:before="40" w:line="280"/>
              <w:jc w:val="left"/>
            </w:pPr>
            <w:r>
              <w:rPr>
                <w:rFonts w:ascii="Calibri" w:eastAsia="Microsoft YaHei"/>
                <w:b/>
                <w:bCs/>
                <w:color w:val="37352F"/>
                <w:sz w:val="20"/>
                <w:szCs w:val="20"/>
              </w:rPr>
              <w:t xml:space="preserve">Consortium Discount (24.2%)</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
            </w:r>
          </w:p>
        </w:tc>
        <w:tc>
          <w:tcPr>
            <w:shd w:fill="FFFFFF" w:val="clear"/>
            <w:tcMar>
              <w:top w:type="dxa" w:w="80"/>
              <w:left w:type="dxa" w:w="120"/>
              <w:bottom w:type="dxa" w:w="80"/>
              <w:right w:type="dxa" w:w="120"/>
            </w:tcMar>
          </w:tcPr>
          <w:p>
            <w:pPr>
              <w:spacing w:after="40" w:before="40" w:line="280"/>
              <w:jc w:val="left"/>
            </w:pPr>
            <w:r>
              <w:rPr>
                <w:rFonts w:ascii="Calibri" w:eastAsia="Microsoft YaHei"/>
                <w:b/>
                <w:bCs/>
                <w:color w:val="37352F"/>
                <w:sz w:val="20"/>
                <w:szCs w:val="20"/>
              </w:rPr>
              <w:t xml:space="preserve">(29,450)</w:t>
            </w:r>
          </w:p>
        </w:tc>
      </w:tr>
      <w:tr>
        <w:trPr>
          <w:cantSplit/>
          <w:tblHeader w:val="false"/>
        </w:trPr>
        <w:tc>
          <w:tcPr>
            <w:shd w:fill="FFFFFF" w:val="clear"/>
            <w:tcMar>
              <w:top w:type="dxa" w:w="80"/>
              <w:left w:type="dxa" w:w="120"/>
              <w:bottom w:type="dxa" w:w="80"/>
              <w:right w:type="dxa" w:w="120"/>
            </w:tcMar>
          </w:tcPr>
          <w:p>
            <w:pPr>
              <w:spacing w:after="40" w:before="40" w:line="280"/>
              <w:jc w:val="left"/>
            </w:pPr>
            <w:r>
              <w:rPr>
                <w:rFonts w:ascii="Calibri" w:eastAsia="Microsoft YaHei"/>
                <w:b/>
                <w:bCs/>
                <w:color w:val="37352F"/>
                <w:sz w:val="20"/>
                <w:szCs w:val="20"/>
              </w:rPr>
              <w:t xml:space="preserve">NET FIXED PRICE</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
            </w:r>
          </w:p>
        </w:tc>
        <w:tc>
          <w:tcPr>
            <w:shd w:fill="FFFFFF" w:val="clear"/>
            <w:tcMar>
              <w:top w:type="dxa" w:w="80"/>
              <w:left w:type="dxa" w:w="120"/>
              <w:bottom w:type="dxa" w:w="80"/>
              <w:right w:type="dxa" w:w="120"/>
            </w:tcMar>
          </w:tcPr>
          <w:p>
            <w:pPr>
              <w:spacing w:after="40" w:before="40" w:line="280"/>
              <w:jc w:val="left"/>
            </w:pPr>
            <w:r>
              <w:rPr>
                <w:rFonts w:ascii="Calibri" w:eastAsia="Microsoft YaHei"/>
                <w:b/>
                <w:bCs/>
                <w:color w:val="37352F"/>
                <w:sz w:val="20"/>
                <w:szCs w:val="20"/>
              </w:rPr>
              <w:t xml:space="preserve">92,000</w:t>
            </w:r>
          </w:p>
        </w:tc>
      </w:tr>
    </w:tbl>
    <w:p>
      <w:pPr>
        <w:pStyle w:val="Heading2"/>
        <w:spacing w:after="120" w:before="240" w:line="312"/>
      </w:pPr>
      <w:r>
        <w:rPr>
          <w:rFonts w:ascii="Calibri" w:eastAsia="Microsoft YaHei"/>
          <w:b/>
          <w:bCs/>
          <w:color w:val="1A2330"/>
          <w:sz w:val="26"/>
          <w:szCs w:val="26"/>
        </w:rPr>
        <w:t xml:space="preserve">3.2 Man-Day Distribution by Phase</w:t>
      </w:r>
    </w:p>
    <w:p>
      <w:pPr>
        <w:spacing w:after="80" w:before="120" w:line="312"/>
        <w:jc w:val="both"/>
      </w:pPr>
      <w:r>
        <w:rPr>
          <w:rFonts w:ascii="Calibri" w:eastAsia="Microsoft YaHei"/>
          <w:b w:val="false"/>
          <w:bCs w:val="false"/>
          <w:i w:val="false"/>
          <w:iCs w:val="false"/>
          <w:color w:val="37352F"/>
          <w:sz w:val="22"/>
          <w:szCs w:val="22"/>
        </w:rPr>
        <w:t xml:space="preserve">The phase distribution below aggregates man-days by role cluster rather than by named individual, providing a planning view of where the team’s time is concentrated. Phase 1 carries the heaviest load at one hundred fifteen person-days, reflecting the parallelised capture and AI draft workstreams. Phase 0 is discovery-heavy at fifty-eight person-days, weighted toward the Solution Architect and Business Analyst roles. Phase 2 carries eighty-two person-days, weighted toward Full Stack engineering and Change Management for the five-country rollout.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800"/>
        <w:gridCol w:w="1200"/>
        <w:gridCol w:w="1100"/>
        <w:gridCol w:w="1300"/>
        <w:gridCol w:w="1200"/>
        <w:gridCol w:w="1300"/>
        <w:gridCol w:w="1100"/>
      </w:tblGrid>
      <w:tr>
        <w:trPr>
          <w:cantSplit/>
          <w:tblHeader/>
        </w:trPr>
        <w:tc>
          <w:tcPr>
            <w:shd w:fill="D4875A" w:val="clear"/>
            <w:tcMar>
              <w:top w:type="dxa" w:w="80"/>
              <w:left w:type="dxa" w:w="120"/>
              <w:bottom w:type="dxa" w:w="80"/>
              <w:right w:type="dxa" w:w="120"/>
            </w:tcMar>
          </w:tcPr>
          <w:p>
            <w:pPr>
              <w:spacing w:after="40" w:before="40" w:line="280"/>
              <w:jc w:val="left"/>
            </w:pPr>
            <w:r>
              <w:rPr>
                <w:rFonts w:ascii="Calibri" w:eastAsia="Microsoft YaHei"/>
                <w:b/>
                <w:bCs/>
                <w:color w:val="FFFFFF"/>
                <w:sz w:val="20"/>
                <w:szCs w:val="20"/>
              </w:rPr>
              <w:t xml:space="preserve">Phase</w:t>
            </w:r>
          </w:p>
        </w:tc>
        <w:tc>
          <w:tcPr>
            <w:shd w:fill="D4875A" w:val="clear"/>
            <w:tcMar>
              <w:top w:type="dxa" w:w="80"/>
              <w:left w:type="dxa" w:w="120"/>
              <w:bottom w:type="dxa" w:w="80"/>
              <w:right w:type="dxa" w:w="120"/>
            </w:tcMar>
          </w:tcPr>
          <w:p>
            <w:pPr>
              <w:spacing w:after="40" w:before="40" w:line="280"/>
              <w:jc w:val="left"/>
            </w:pPr>
            <w:r>
              <w:rPr>
                <w:rFonts w:ascii="Calibri" w:eastAsia="Microsoft YaHei"/>
                <w:b/>
                <w:bCs/>
                <w:color w:val="FFFFFF"/>
                <w:sz w:val="20"/>
                <w:szCs w:val="20"/>
              </w:rPr>
              <w:t xml:space="preserve">Weeks</w:t>
            </w:r>
          </w:p>
        </w:tc>
        <w:tc>
          <w:tcPr>
            <w:shd w:fill="D4875A" w:val="clear"/>
            <w:tcMar>
              <w:top w:type="dxa" w:w="80"/>
              <w:left w:type="dxa" w:w="120"/>
              <w:bottom w:type="dxa" w:w="80"/>
              <w:right w:type="dxa" w:w="120"/>
            </w:tcMar>
          </w:tcPr>
          <w:p>
            <w:pPr>
              <w:spacing w:after="40" w:before="40" w:line="280"/>
              <w:jc w:val="left"/>
            </w:pPr>
            <w:r>
              <w:rPr>
                <w:rFonts w:ascii="Calibri" w:eastAsia="Microsoft YaHei"/>
                <w:b/>
                <w:bCs/>
                <w:color w:val="FFFFFF"/>
                <w:sz w:val="20"/>
                <w:szCs w:val="20"/>
              </w:rPr>
              <w:t xml:space="preserve">Team Lead</w:t>
            </w:r>
          </w:p>
        </w:tc>
        <w:tc>
          <w:tcPr>
            <w:shd w:fill="D4875A" w:val="clear"/>
            <w:tcMar>
              <w:top w:type="dxa" w:w="80"/>
              <w:left w:type="dxa" w:w="120"/>
              <w:bottom w:type="dxa" w:w="80"/>
              <w:right w:type="dxa" w:w="120"/>
            </w:tcMar>
          </w:tcPr>
          <w:p>
            <w:pPr>
              <w:spacing w:after="40" w:before="40" w:line="280"/>
              <w:jc w:val="left"/>
            </w:pPr>
            <w:r>
              <w:rPr>
                <w:rFonts w:ascii="Calibri" w:eastAsia="Microsoft YaHei"/>
                <w:b/>
                <w:bCs/>
                <w:color w:val="FFFFFF"/>
                <w:sz w:val="20"/>
                <w:szCs w:val="20"/>
              </w:rPr>
              <w:t xml:space="preserve">Tech Lead</w:t>
            </w:r>
          </w:p>
        </w:tc>
        <w:tc>
          <w:tcPr>
            <w:shd w:fill="D4875A" w:val="clear"/>
            <w:tcMar>
              <w:top w:type="dxa" w:w="80"/>
              <w:left w:type="dxa" w:w="120"/>
              <w:bottom w:type="dxa" w:w="80"/>
              <w:right w:type="dxa" w:w="120"/>
            </w:tcMar>
          </w:tcPr>
          <w:p>
            <w:pPr>
              <w:spacing w:after="40" w:before="40" w:line="280"/>
              <w:jc w:val="left"/>
            </w:pPr>
            <w:r>
              <w:rPr>
                <w:rFonts w:ascii="Calibri" w:eastAsia="Microsoft YaHei"/>
                <w:b/>
                <w:bCs/>
                <w:color w:val="FFFFFF"/>
                <w:sz w:val="20"/>
                <w:szCs w:val="20"/>
              </w:rPr>
              <w:t xml:space="preserve">Architect/AI</w:t>
            </w:r>
          </w:p>
        </w:tc>
        <w:tc>
          <w:tcPr>
            <w:shd w:fill="D4875A" w:val="clear"/>
            <w:tcMar>
              <w:top w:type="dxa" w:w="80"/>
              <w:left w:type="dxa" w:w="120"/>
              <w:bottom w:type="dxa" w:w="80"/>
              <w:right w:type="dxa" w:w="120"/>
            </w:tcMar>
          </w:tcPr>
          <w:p>
            <w:pPr>
              <w:spacing w:after="40" w:before="40" w:line="280"/>
              <w:jc w:val="left"/>
            </w:pPr>
            <w:r>
              <w:rPr>
                <w:rFonts w:ascii="Calibri" w:eastAsia="Microsoft YaHei"/>
                <w:b/>
                <w:bCs/>
                <w:color w:val="FFFFFF"/>
                <w:sz w:val="20"/>
                <w:szCs w:val="20"/>
              </w:rPr>
              <w:t xml:space="preserve">Full Stack</w:t>
            </w:r>
          </w:p>
        </w:tc>
        <w:tc>
          <w:tcPr>
            <w:shd w:fill="D4875A" w:val="clear"/>
            <w:tcMar>
              <w:top w:type="dxa" w:w="80"/>
              <w:left w:type="dxa" w:w="120"/>
              <w:bottom w:type="dxa" w:w="80"/>
              <w:right w:type="dxa" w:w="120"/>
            </w:tcMar>
          </w:tcPr>
          <w:p>
            <w:pPr>
              <w:spacing w:after="40" w:before="40" w:line="280"/>
              <w:jc w:val="left"/>
            </w:pPr>
            <w:r>
              <w:rPr>
                <w:rFonts w:ascii="Calibri" w:eastAsia="Microsoft YaHei"/>
                <w:b/>
                <w:bCs/>
                <w:color w:val="FFFFFF"/>
                <w:sz w:val="20"/>
                <w:szCs w:val="20"/>
              </w:rPr>
              <w:t xml:space="preserve">Other Roles</w:t>
            </w:r>
          </w:p>
        </w:tc>
        <w:tc>
          <w:tcPr>
            <w:shd w:fill="D4875A" w:val="clear"/>
            <w:tcMar>
              <w:top w:type="dxa" w:w="80"/>
              <w:left w:type="dxa" w:w="120"/>
              <w:bottom w:type="dxa" w:w="80"/>
              <w:right w:type="dxa" w:w="120"/>
            </w:tcMar>
          </w:tcPr>
          <w:p>
            <w:pPr>
              <w:spacing w:after="40" w:before="40" w:line="280"/>
              <w:jc w:val="left"/>
            </w:pPr>
            <w:r>
              <w:rPr>
                <w:rFonts w:ascii="Calibri" w:eastAsia="Microsoft YaHei"/>
                <w:b/>
                <w:bCs/>
                <w:color w:val="FFFFFF"/>
                <w:sz w:val="20"/>
                <w:szCs w:val="20"/>
              </w:rPr>
              <w:t xml:space="preserve">Phase Total</w:t>
            </w:r>
          </w:p>
        </w:tc>
      </w:tr>
      <w:tr>
        <w:trPr>
          <w:cantSplit/>
          <w:tblHeader w:val="false"/>
        </w:trPr>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Phase 0 — Discovery</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4</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8</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5</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14</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10</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21</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58</w:t>
            </w:r>
          </w:p>
        </w:tc>
      </w:tr>
      <w:tr>
        <w:trPr>
          <w:cantSplit/>
          <w:tblHeader w:val="false"/>
        </w:trPr>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Phase 1 — Build Pilot</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8</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14</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9</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22</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32</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38</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115</w:t>
            </w:r>
          </w:p>
        </w:tc>
      </w:tr>
      <w:tr>
        <w:trPr>
          <w:cantSplit/>
          <w:tblHeader w:val="false"/>
        </w:trPr>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Phase 2 — Wave 1 Rollout</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10</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13</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4</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14</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18</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33</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82</w:t>
            </w:r>
          </w:p>
        </w:tc>
      </w:tr>
      <w:tr>
        <w:trPr>
          <w:cantSplit/>
          <w:tblHeader w:val="false"/>
        </w:trPr>
        <w:tc>
          <w:tcPr>
            <w:shd w:fill="FFFFFF" w:val="clear"/>
            <w:tcMar>
              <w:top w:type="dxa" w:w="80"/>
              <w:left w:type="dxa" w:w="120"/>
              <w:bottom w:type="dxa" w:w="80"/>
              <w:right w:type="dxa" w:w="120"/>
            </w:tcMar>
          </w:tcPr>
          <w:p>
            <w:pPr>
              <w:spacing w:after="40" w:before="40" w:line="280"/>
              <w:jc w:val="left"/>
            </w:pPr>
            <w:r>
              <w:rPr>
                <w:rFonts w:ascii="Calibri" w:eastAsia="Microsoft YaHei"/>
                <w:b/>
                <w:bCs/>
                <w:color w:val="37352F"/>
                <w:sz w:val="20"/>
                <w:szCs w:val="20"/>
              </w:rPr>
              <w:t xml:space="preserve">TOTAL</w:t>
            </w:r>
          </w:p>
        </w:tc>
        <w:tc>
          <w:tcPr>
            <w:shd w:fill="FFFFFF" w:val="clear"/>
            <w:tcMar>
              <w:top w:type="dxa" w:w="80"/>
              <w:left w:type="dxa" w:w="120"/>
              <w:bottom w:type="dxa" w:w="80"/>
              <w:right w:type="dxa" w:w="120"/>
            </w:tcMar>
          </w:tcPr>
          <w:p>
            <w:pPr>
              <w:spacing w:after="40" w:before="40" w:line="280"/>
              <w:jc w:val="left"/>
            </w:pPr>
            <w:r>
              <w:rPr>
                <w:rFonts w:ascii="Calibri" w:eastAsia="Microsoft YaHei"/>
                <w:b/>
                <w:bCs/>
                <w:color w:val="37352F"/>
                <w:sz w:val="20"/>
                <w:szCs w:val="20"/>
              </w:rPr>
              <w:t xml:space="preserve">22</w:t>
            </w:r>
          </w:p>
        </w:tc>
        <w:tc>
          <w:tcPr>
            <w:shd w:fill="FFFFFF" w:val="clear"/>
            <w:tcMar>
              <w:top w:type="dxa" w:w="80"/>
              <w:left w:type="dxa" w:w="120"/>
              <w:bottom w:type="dxa" w:w="80"/>
              <w:right w:type="dxa" w:w="120"/>
            </w:tcMar>
          </w:tcPr>
          <w:p>
            <w:pPr>
              <w:spacing w:after="40" w:before="40" w:line="280"/>
              <w:jc w:val="left"/>
            </w:pPr>
            <w:r>
              <w:rPr>
                <w:rFonts w:ascii="Calibri" w:eastAsia="Microsoft YaHei"/>
                <w:b/>
                <w:bCs/>
                <w:color w:val="37352F"/>
                <w:sz w:val="20"/>
                <w:szCs w:val="20"/>
              </w:rPr>
              <w:t xml:space="preserve">35</w:t>
            </w:r>
          </w:p>
        </w:tc>
        <w:tc>
          <w:tcPr>
            <w:shd w:fill="FFFFFF" w:val="clear"/>
            <w:tcMar>
              <w:top w:type="dxa" w:w="80"/>
              <w:left w:type="dxa" w:w="120"/>
              <w:bottom w:type="dxa" w:w="80"/>
              <w:right w:type="dxa" w:w="120"/>
            </w:tcMar>
          </w:tcPr>
          <w:p>
            <w:pPr>
              <w:spacing w:after="40" w:before="40" w:line="280"/>
              <w:jc w:val="left"/>
            </w:pPr>
            <w:r>
              <w:rPr>
                <w:rFonts w:ascii="Calibri" w:eastAsia="Microsoft YaHei"/>
                <w:b/>
                <w:bCs/>
                <w:color w:val="37352F"/>
                <w:sz w:val="20"/>
                <w:szCs w:val="20"/>
              </w:rPr>
              <w:t xml:space="preserve">18</w:t>
            </w:r>
          </w:p>
        </w:tc>
        <w:tc>
          <w:tcPr>
            <w:shd w:fill="FFFFFF" w:val="clear"/>
            <w:tcMar>
              <w:top w:type="dxa" w:w="80"/>
              <w:left w:type="dxa" w:w="120"/>
              <w:bottom w:type="dxa" w:w="80"/>
              <w:right w:type="dxa" w:w="120"/>
            </w:tcMar>
          </w:tcPr>
          <w:p>
            <w:pPr>
              <w:spacing w:after="40" w:before="40" w:line="280"/>
              <w:jc w:val="left"/>
            </w:pPr>
            <w:r>
              <w:rPr>
                <w:rFonts w:ascii="Calibri" w:eastAsia="Microsoft YaHei"/>
                <w:b/>
                <w:bCs/>
                <w:color w:val="37352F"/>
                <w:sz w:val="20"/>
                <w:szCs w:val="20"/>
              </w:rPr>
              <w:t xml:space="preserve">50</w:t>
            </w:r>
          </w:p>
        </w:tc>
        <w:tc>
          <w:tcPr>
            <w:shd w:fill="FFFFFF" w:val="clear"/>
            <w:tcMar>
              <w:top w:type="dxa" w:w="80"/>
              <w:left w:type="dxa" w:w="120"/>
              <w:bottom w:type="dxa" w:w="80"/>
              <w:right w:type="dxa" w:w="120"/>
            </w:tcMar>
          </w:tcPr>
          <w:p>
            <w:pPr>
              <w:spacing w:after="40" w:before="40" w:line="280"/>
              <w:jc w:val="left"/>
            </w:pPr>
            <w:r>
              <w:rPr>
                <w:rFonts w:ascii="Calibri" w:eastAsia="Microsoft YaHei"/>
                <w:b/>
                <w:bCs/>
                <w:color w:val="37352F"/>
                <w:sz w:val="20"/>
                <w:szCs w:val="20"/>
              </w:rPr>
              <w:t xml:space="preserve">60</w:t>
            </w:r>
          </w:p>
        </w:tc>
        <w:tc>
          <w:tcPr>
            <w:shd w:fill="FFFFFF" w:val="clear"/>
            <w:tcMar>
              <w:top w:type="dxa" w:w="80"/>
              <w:left w:type="dxa" w:w="120"/>
              <w:bottom w:type="dxa" w:w="80"/>
              <w:right w:type="dxa" w:w="120"/>
            </w:tcMar>
          </w:tcPr>
          <w:p>
            <w:pPr>
              <w:spacing w:after="40" w:before="40" w:line="280"/>
              <w:jc w:val="left"/>
            </w:pPr>
            <w:r>
              <w:rPr>
                <w:rFonts w:ascii="Calibri" w:eastAsia="Microsoft YaHei"/>
                <w:b/>
                <w:bCs/>
                <w:color w:val="37352F"/>
                <w:sz w:val="20"/>
                <w:szCs w:val="20"/>
              </w:rPr>
              <w:t xml:space="preserve">92</w:t>
            </w:r>
          </w:p>
        </w:tc>
        <w:tc>
          <w:tcPr>
            <w:shd w:fill="FFFFFF" w:val="clear"/>
            <w:tcMar>
              <w:top w:type="dxa" w:w="80"/>
              <w:left w:type="dxa" w:w="120"/>
              <w:bottom w:type="dxa" w:w="80"/>
              <w:right w:type="dxa" w:w="120"/>
            </w:tcMar>
          </w:tcPr>
          <w:p>
            <w:pPr>
              <w:spacing w:after="40" w:before="40" w:line="280"/>
              <w:jc w:val="left"/>
            </w:pPr>
            <w:r>
              <w:rPr>
                <w:rFonts w:ascii="Calibri" w:eastAsia="Microsoft YaHei"/>
                <w:b/>
                <w:bCs/>
                <w:color w:val="37352F"/>
                <w:sz w:val="20"/>
                <w:szCs w:val="20"/>
              </w:rPr>
              <w:t xml:space="preserve">255</w:t>
            </w:r>
          </w:p>
        </w:tc>
      </w:tr>
    </w:tbl>
    <w:p>
      <w:pPr>
        <w:pStyle w:val="Heading1"/>
        <w:spacing w:after="200" w:before="360" w:line="312"/>
      </w:pPr>
      <w:r>
        <w:rPr>
          <w:rFonts w:ascii="Calibri" w:eastAsia="Microsoft YaHei"/>
          <w:b/>
          <w:bCs/>
          <w:color w:val="1A2330"/>
          <w:sz w:val="32"/>
          <w:szCs w:val="32"/>
        </w:rPr>
        <w:t xml:space="preserve">4. Cost by Category</w:t>
      </w:r>
    </w:p>
    <w:p>
      <w:pPr>
        <w:pStyle w:val="Heading2"/>
        <w:spacing w:after="120" w:before="240" w:line="312"/>
      </w:pPr>
      <w:r>
        <w:rPr>
          <w:rFonts w:ascii="Calibri" w:eastAsia="Microsoft YaHei"/>
          <w:b/>
          <w:bCs/>
          <w:color w:val="1A2330"/>
          <w:sz w:val="26"/>
          <w:szCs w:val="26"/>
        </w:rPr>
        <w:t xml:space="preserve">4.1 Capex / Opex Split</w:t>
      </w:r>
    </w:p>
    <w:p>
      <w:pPr>
        <w:spacing w:after="80" w:before="120" w:line="312"/>
        <w:jc w:val="both"/>
      </w:pPr>
      <w:r>
        <w:rPr>
          <w:rFonts w:ascii="Calibri" w:eastAsia="Microsoft YaHei"/>
          <w:b w:val="false"/>
          <w:bCs w:val="false"/>
          <w:i w:val="false"/>
          <w:iCs w:val="false"/>
          <w:color w:val="37352F"/>
          <w:sz w:val="22"/>
          <w:szCs w:val="22"/>
        </w:rPr>
        <w:t xml:space="preserve">The fixed price is allocated across eight cost categories. Personnel represents the dominant cost driver at approximately ninety-five percent of total, reflecting the AI-augmented engineering pod model. Direct costs (cloud infrastructure, third-party APIs, tooling, and field travel) account for the remaining five percent and are all included within the fixed bid — Aceli has zero additional infrastructure cost during the engagement. The Capex/Opex split is approximately ninety-five percent Capex (capitalised build cost, amortised over the platform’s operational life) and five percent Opex (recurring run-cost that transitions to steady-state post-launch).</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1200"/>
        <w:gridCol w:w="1800"/>
        <w:gridCol w:w="1800"/>
      </w:tblGrid>
      <w:tr>
        <w:trPr>
          <w:cantSplit/>
          <w:tblHeader/>
        </w:trPr>
        <w:tc>
          <w:tcPr>
            <w:shd w:fill="D4875A" w:val="clear"/>
            <w:tcMar>
              <w:top w:type="dxa" w:w="80"/>
              <w:left w:type="dxa" w:w="120"/>
              <w:bottom w:type="dxa" w:w="80"/>
              <w:right w:type="dxa" w:w="120"/>
            </w:tcMar>
          </w:tcPr>
          <w:p>
            <w:pPr>
              <w:spacing w:after="40" w:before="40" w:line="280"/>
              <w:jc w:val="left"/>
            </w:pPr>
            <w:r>
              <w:rPr>
                <w:rFonts w:ascii="Calibri" w:eastAsia="Microsoft YaHei"/>
                <w:b/>
                <w:bCs/>
                <w:color w:val="FFFFFF"/>
                <w:sz w:val="20"/>
                <w:szCs w:val="20"/>
              </w:rPr>
              <w:t xml:space="preserve">Category</w:t>
            </w:r>
          </w:p>
        </w:tc>
        <w:tc>
          <w:tcPr>
            <w:shd w:fill="D4875A" w:val="clear"/>
            <w:tcMar>
              <w:top w:type="dxa" w:w="80"/>
              <w:left w:type="dxa" w:w="120"/>
              <w:bottom w:type="dxa" w:w="80"/>
              <w:right w:type="dxa" w:w="120"/>
            </w:tcMar>
          </w:tcPr>
          <w:p>
            <w:pPr>
              <w:spacing w:after="40" w:before="40" w:line="280"/>
              <w:jc w:val="left"/>
            </w:pPr>
            <w:r>
              <w:rPr>
                <w:rFonts w:ascii="Calibri" w:eastAsia="Microsoft YaHei"/>
                <w:b/>
                <w:bCs/>
                <w:color w:val="FFFFFF"/>
                <w:sz w:val="20"/>
                <w:szCs w:val="20"/>
              </w:rPr>
              <w:t xml:space="preserve">Type</w:t>
            </w:r>
          </w:p>
        </w:tc>
        <w:tc>
          <w:tcPr>
            <w:shd w:fill="D4875A" w:val="clear"/>
            <w:tcMar>
              <w:top w:type="dxa" w:w="80"/>
              <w:left w:type="dxa" w:w="120"/>
              <w:bottom w:type="dxa" w:w="80"/>
              <w:right w:type="dxa" w:w="120"/>
            </w:tcMar>
          </w:tcPr>
          <w:p>
            <w:pPr>
              <w:spacing w:after="40" w:before="40" w:line="280"/>
              <w:jc w:val="left"/>
            </w:pPr>
            <w:r>
              <w:rPr>
                <w:rFonts w:ascii="Calibri" w:eastAsia="Microsoft YaHei"/>
                <w:b/>
                <w:bCs/>
                <w:color w:val="FFFFFF"/>
                <w:sz w:val="20"/>
                <w:szCs w:val="20"/>
              </w:rPr>
              <w:t xml:space="preserve">USD</w:t>
            </w:r>
          </w:p>
        </w:tc>
        <w:tc>
          <w:tcPr>
            <w:shd w:fill="D4875A" w:val="clear"/>
            <w:tcMar>
              <w:top w:type="dxa" w:w="80"/>
              <w:left w:type="dxa" w:w="120"/>
              <w:bottom w:type="dxa" w:w="80"/>
              <w:right w:type="dxa" w:w="120"/>
            </w:tcMar>
          </w:tcPr>
          <w:p>
            <w:pPr>
              <w:spacing w:after="40" w:before="40" w:line="280"/>
              <w:jc w:val="left"/>
            </w:pPr>
            <w:r>
              <w:rPr>
                <w:rFonts w:ascii="Calibri" w:eastAsia="Microsoft YaHei"/>
                <w:b/>
                <w:bCs/>
                <w:color w:val="FFFFFF"/>
                <w:sz w:val="20"/>
                <w:szCs w:val="20"/>
              </w:rPr>
              <w:t xml:space="preserve">% of Total</w:t>
            </w:r>
          </w:p>
        </w:tc>
      </w:tr>
      <w:tr>
        <w:trPr>
          <w:cantSplit/>
          <w:tblHeader w:val="false"/>
        </w:trPr>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Personnel — Engineering</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Capex</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49,000</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53.3%</w:t>
            </w:r>
          </w:p>
        </w:tc>
      </w:tr>
      <w:tr>
        <w:trPr>
          <w:cantSplit/>
          <w:tblHeader w:val="false"/>
        </w:trPr>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Personnel — Design &amp; BA</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Capex</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11,500</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12.5%</w:t>
            </w:r>
          </w:p>
        </w:tc>
      </w:tr>
      <w:tr>
        <w:trPr>
          <w:cantSplit/>
          <w:tblHeader w:val="false"/>
        </w:trPr>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Personnel — PM &amp; Governance</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Capex</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19,000</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20.7%</w:t>
            </w:r>
          </w:p>
        </w:tc>
      </w:tr>
      <w:tr>
        <w:trPr>
          <w:cantSplit/>
          <w:tblHeader w:val="false"/>
        </w:trPr>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Personnel — QA &amp; Training</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Capex</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8,200</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8.9%</w:t>
            </w:r>
          </w:p>
        </w:tc>
      </w:tr>
      <w:tr>
        <w:trPr>
          <w:cantSplit/>
          <w:tblHeader w:val="false"/>
        </w:trPr>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Cloud Infrastructure</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Opex</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3,100</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3.4%</w:t>
            </w:r>
          </w:p>
        </w:tc>
      </w:tr>
      <w:tr>
        <w:trPr>
          <w:cantSplit/>
          <w:tblHeader w:val="false"/>
        </w:trPr>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Third-party APIs &amp; Licenses</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Opex</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10,500</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11.4%</w:t>
            </w:r>
          </w:p>
        </w:tc>
      </w:tr>
      <w:tr>
        <w:trPr>
          <w:cantSplit/>
          <w:tblHeader w:val="false"/>
        </w:trPr>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Tooling &amp; Dev Productivity</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Opex</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2,900</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3.2%</w:t>
            </w:r>
          </w:p>
        </w:tc>
      </w:tr>
      <w:tr>
        <w:trPr>
          <w:cantSplit/>
          <w:tblHeader w:val="false"/>
        </w:trPr>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Field Travel &amp; Stakeholder Ops</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Opex</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4,300</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4.7%</w:t>
            </w:r>
          </w:p>
        </w:tc>
      </w:tr>
      <w:tr>
        <w:trPr>
          <w:cantSplit/>
          <w:tblHeader w:val="false"/>
        </w:trPr>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(Rounding adjustment)</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(16,500)</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(17.9%)</w:t>
            </w:r>
          </w:p>
        </w:tc>
      </w:tr>
      <w:tr>
        <w:trPr>
          <w:cantSplit/>
          <w:tblHeader w:val="false"/>
        </w:trPr>
        <w:tc>
          <w:tcPr>
            <w:shd w:fill="FFFFFF" w:val="clear"/>
            <w:tcMar>
              <w:top w:type="dxa" w:w="80"/>
              <w:left w:type="dxa" w:w="120"/>
              <w:bottom w:type="dxa" w:w="80"/>
              <w:right w:type="dxa" w:w="120"/>
            </w:tcMar>
          </w:tcPr>
          <w:p>
            <w:pPr>
              <w:spacing w:after="40" w:before="40" w:line="280"/>
              <w:jc w:val="left"/>
            </w:pPr>
            <w:r>
              <w:rPr>
                <w:rFonts w:ascii="Calibri" w:eastAsia="Microsoft YaHei"/>
                <w:b/>
                <w:bCs/>
                <w:color w:val="37352F"/>
                <w:sz w:val="20"/>
                <w:szCs w:val="20"/>
              </w:rPr>
              <w:t xml:space="preserve">TOTAL FIXED PRICE</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
            </w:r>
          </w:p>
        </w:tc>
        <w:tc>
          <w:tcPr>
            <w:shd w:fill="FFFFFF" w:val="clear"/>
            <w:tcMar>
              <w:top w:type="dxa" w:w="80"/>
              <w:left w:type="dxa" w:w="120"/>
              <w:bottom w:type="dxa" w:w="80"/>
              <w:right w:type="dxa" w:w="120"/>
            </w:tcMar>
          </w:tcPr>
          <w:p>
            <w:pPr>
              <w:spacing w:after="40" w:before="40" w:line="280"/>
              <w:jc w:val="left"/>
            </w:pPr>
            <w:r>
              <w:rPr>
                <w:rFonts w:ascii="Calibri" w:eastAsia="Microsoft YaHei"/>
                <w:b/>
                <w:bCs/>
                <w:color w:val="37352F"/>
                <w:sz w:val="20"/>
                <w:szCs w:val="20"/>
              </w:rPr>
              <w:t xml:space="preserve">92,000</w:t>
            </w:r>
          </w:p>
        </w:tc>
        <w:tc>
          <w:tcPr>
            <w:shd w:fill="FFFFFF" w:val="clear"/>
            <w:tcMar>
              <w:top w:type="dxa" w:w="80"/>
              <w:left w:type="dxa" w:w="120"/>
              <w:bottom w:type="dxa" w:w="80"/>
              <w:right w:type="dxa" w:w="120"/>
            </w:tcMar>
          </w:tcPr>
          <w:p>
            <w:pPr>
              <w:spacing w:after="40" w:before="40" w:line="280"/>
              <w:jc w:val="left"/>
            </w:pPr>
            <w:r>
              <w:rPr>
                <w:rFonts w:ascii="Calibri" w:eastAsia="Microsoft YaHei"/>
                <w:b/>
                <w:bCs/>
                <w:color w:val="37352F"/>
                <w:sz w:val="20"/>
                <w:szCs w:val="20"/>
              </w:rPr>
              <w:t xml:space="preserve">100.0%</w:t>
            </w:r>
          </w:p>
        </w:tc>
      </w:tr>
    </w:tbl>
    <w:p>
      <w:pPr>
        <w:pStyle w:val="Heading1"/>
        <w:spacing w:after="200" w:before="360" w:line="312"/>
      </w:pPr>
      <w:r>
        <w:rPr>
          <w:rFonts w:ascii="Calibri" w:eastAsia="Microsoft YaHei"/>
          <w:b/>
          <w:bCs/>
          <w:color w:val="1A2330"/>
          <w:sz w:val="32"/>
          <w:szCs w:val="32"/>
        </w:rPr>
        <w:t xml:space="preserve">5. Development Timeline</w:t>
      </w:r>
    </w:p>
    <w:p>
      <w:pPr>
        <w:pStyle w:val="Heading2"/>
        <w:spacing w:after="120" w:before="240" w:line="312"/>
      </w:pPr>
      <w:r>
        <w:rPr>
          <w:rFonts w:ascii="Calibri" w:eastAsia="Microsoft YaHei"/>
          <w:b/>
          <w:bCs/>
          <w:color w:val="1A2330"/>
          <w:sz w:val="26"/>
          <w:szCs w:val="26"/>
        </w:rPr>
        <w:t xml:space="preserve">5.1 Phase Calendar Overview</w:t>
      </w:r>
    </w:p>
    <w:p>
      <w:pPr>
        <w:spacing w:after="80" w:before="120" w:line="312"/>
        <w:jc w:val="both"/>
      </w:pPr>
      <w:r>
        <w:rPr>
          <w:rFonts w:ascii="Calibri" w:eastAsia="Microsoft YaHei"/>
          <w:b w:val="false"/>
          <w:bCs w:val="false"/>
          <w:i w:val="false"/>
          <w:iCs w:val="false"/>
          <w:color w:val="37352F"/>
          <w:sz w:val="22"/>
          <w:szCs w:val="22"/>
        </w:rPr>
        <w:t xml:space="preserve">The engagement spans twenty-two calendar weeks from 6 July 2026 through 7 December 2026. Phase 0 occupies Weeks 1 through 4 and culminates in the M1 milestone. Phase 1 occupies Weeks 5 through 12 with two milestones: M2 at end of Week 8 (LAT beta in pilot country hands) and M3 at end of Week 11 (pilot go-live with KPI validation). Phase 2 occupies Weeks 13 through 22 with two milestones: M4 at end of Week 17 (Wave 1 Country 2-3 live) and M5 at end of Week 22 (Wave 1 complete, bidirectional Salesforce sync operational, hypercare begins).</w:t>
      </w:r>
    </w:p>
    <w:p>
      <w:pPr>
        <w:pStyle w:val="Heading2"/>
        <w:spacing w:after="120" w:before="240" w:line="312"/>
      </w:pPr>
      <w:r>
        <w:rPr>
          <w:rFonts w:ascii="Calibri" w:eastAsia="Microsoft YaHei"/>
          <w:b/>
          <w:bCs/>
          <w:color w:val="1A2330"/>
          <w:sz w:val="26"/>
          <w:szCs w:val="26"/>
        </w:rPr>
        <w:t xml:space="preserve">5.2 Phase Structure &amp; Milestones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2200"/>
        <w:gridCol w:w="700"/>
        <w:gridCol w:w="800"/>
        <w:gridCol w:w="4200"/>
      </w:tblGrid>
      <w:tr>
        <w:trPr>
          <w:cantSplit/>
          <w:tblHeader/>
        </w:trPr>
        <w:tc>
          <w:tcPr>
            <w:shd w:fill="D4875A" w:val="clear"/>
            <w:tcMar>
              <w:top w:type="dxa" w:w="80"/>
              <w:left w:type="dxa" w:w="120"/>
              <w:bottom w:type="dxa" w:w="80"/>
              <w:right w:type="dxa" w:w="120"/>
            </w:tcMar>
          </w:tcPr>
          <w:p>
            <w:pPr>
              <w:spacing w:after="40" w:before="40" w:line="280"/>
              <w:jc w:val="left"/>
            </w:pPr>
            <w:r>
              <w:rPr>
                <w:rFonts w:ascii="Calibri" w:eastAsia="Microsoft YaHei"/>
                <w:b/>
                <w:bCs/>
                <w:color w:val="FFFFFF"/>
                <w:sz w:val="20"/>
                <w:szCs w:val="20"/>
              </w:rPr>
              <w:t xml:space="preserve">Phase</w:t>
            </w:r>
          </w:p>
        </w:tc>
        <w:tc>
          <w:tcPr>
            <w:shd w:fill="D4875A" w:val="clear"/>
            <w:tcMar>
              <w:top w:type="dxa" w:w="80"/>
              <w:left w:type="dxa" w:w="120"/>
              <w:bottom w:type="dxa" w:w="80"/>
              <w:right w:type="dxa" w:w="120"/>
            </w:tcMar>
          </w:tcPr>
          <w:p>
            <w:pPr>
              <w:spacing w:after="40" w:before="40" w:line="280"/>
              <w:jc w:val="left"/>
            </w:pPr>
            <w:r>
              <w:rPr>
                <w:rFonts w:ascii="Calibri" w:eastAsia="Microsoft YaHei"/>
                <w:b/>
                <w:bCs/>
                <w:color w:val="FFFFFF"/>
                <w:sz w:val="20"/>
                <w:szCs w:val="20"/>
              </w:rPr>
              <w:t xml:space="preserve">Window</w:t>
            </w:r>
          </w:p>
        </w:tc>
        <w:tc>
          <w:tcPr>
            <w:shd w:fill="D4875A" w:val="clear"/>
            <w:tcMar>
              <w:top w:type="dxa" w:w="80"/>
              <w:left w:type="dxa" w:w="120"/>
              <w:bottom w:type="dxa" w:w="80"/>
              <w:right w:type="dxa" w:w="120"/>
            </w:tcMar>
          </w:tcPr>
          <w:p>
            <w:pPr>
              <w:spacing w:after="40" w:before="40" w:line="280"/>
              <w:jc w:val="left"/>
            </w:pPr>
            <w:r>
              <w:rPr>
                <w:rFonts w:ascii="Calibri" w:eastAsia="Microsoft YaHei"/>
                <w:b/>
                <w:bCs/>
                <w:color w:val="FFFFFF"/>
                <w:sz w:val="20"/>
                <w:szCs w:val="20"/>
              </w:rPr>
              <w:t xml:space="preserve">Weeks</w:t>
            </w:r>
          </w:p>
        </w:tc>
        <w:tc>
          <w:tcPr>
            <w:shd w:fill="D4875A" w:val="clear"/>
            <w:tcMar>
              <w:top w:type="dxa" w:w="80"/>
              <w:left w:type="dxa" w:w="120"/>
              <w:bottom w:type="dxa" w:w="80"/>
              <w:right w:type="dxa" w:w="120"/>
            </w:tcMar>
          </w:tcPr>
          <w:p>
            <w:pPr>
              <w:spacing w:after="40" w:before="40" w:line="280"/>
              <w:jc w:val="left"/>
            </w:pPr>
            <w:r>
              <w:rPr>
                <w:rFonts w:ascii="Calibri" w:eastAsia="Microsoft YaHei"/>
                <w:b/>
                <w:bCs/>
                <w:color w:val="FFFFFF"/>
                <w:sz w:val="20"/>
                <w:szCs w:val="20"/>
              </w:rPr>
              <w:t xml:space="preserve">Milestone</w:t>
            </w:r>
          </w:p>
        </w:tc>
        <w:tc>
          <w:tcPr>
            <w:shd w:fill="D4875A" w:val="clear"/>
            <w:tcMar>
              <w:top w:type="dxa" w:w="80"/>
              <w:left w:type="dxa" w:w="120"/>
              <w:bottom w:type="dxa" w:w="80"/>
              <w:right w:type="dxa" w:w="120"/>
            </w:tcMar>
          </w:tcPr>
          <w:p>
            <w:pPr>
              <w:spacing w:after="40" w:before="40" w:line="280"/>
              <w:jc w:val="left"/>
            </w:pPr>
            <w:r>
              <w:rPr>
                <w:rFonts w:ascii="Calibri" w:eastAsia="Microsoft YaHei"/>
                <w:b/>
                <w:bCs/>
                <w:color w:val="FFFFFF"/>
                <w:sz w:val="20"/>
                <w:szCs w:val="20"/>
              </w:rPr>
              <w:t xml:space="preserve">Acceptance Criteria</w:t>
            </w:r>
          </w:p>
        </w:tc>
      </w:tr>
      <w:tr>
        <w:trPr>
          <w:cantSplit/>
          <w:tblHeader w:val="false"/>
        </w:trPr>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P0</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06 Jul → 31 Jul</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4</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M1</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Signed solution design; baselines captured; Figma prototype accepted; pilot-country selected</w:t>
            </w:r>
          </w:p>
        </w:tc>
      </w:tr>
      <w:tr>
        <w:trPr>
          <w:cantSplit/>
          <w:tblHeader w:val="false"/>
        </w:trPr>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P1 (part 1)</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03 Aug → 28 Aug</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4</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M2</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LAT beta in pilot-country hands; capture + AI draft + review workbench functional; Salesforce write-back verified in sandbox</w:t>
            </w:r>
          </w:p>
        </w:tc>
      </w:tr>
      <w:tr>
        <w:trPr>
          <w:cantSplit/>
          <w:tblHeader w:val="false"/>
        </w:trPr>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P1 (part 2)</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31 Aug → 25 Sep</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4</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M3</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Pilot go-live; UAT sign-off; pilot KPI validation: 60% reconciliation reduction; 80% activation-gap visibility; weekly active use confirmed</w:t>
            </w:r>
          </w:p>
        </w:tc>
      </w:tr>
      <w:tr>
        <w:trPr>
          <w:cantSplit/>
          <w:tblHeader w:val="false"/>
        </w:trPr>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P2 (part 1)</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28 Sep → 30 Oct</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5</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M4</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Wave 1 Country 2-3 live; training complete; adoption dashboard live</w:t>
            </w:r>
          </w:p>
        </w:tc>
      </w:tr>
      <w:tr>
        <w:trPr>
          <w:cantSplit/>
          <w:tblHeader w:val="false"/>
        </w:trPr>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P2 (part 2)</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02 Nov → 07 Dec</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5</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M5</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Wave 1 complete (5 countries); bidirectional Salesforce sync operational; hypercare closed; Wave 2 SOW prepared; final handover</w:t>
            </w:r>
          </w:p>
        </w:tc>
      </w:tr>
    </w:tbl>
    <w:p>
      <w:pPr>
        <w:pStyle w:val="Heading1"/>
        <w:spacing w:after="200" w:before="360" w:line="312"/>
      </w:pPr>
      <w:r>
        <w:rPr>
          <w:rFonts w:ascii="Calibri" w:eastAsia="Microsoft YaHei"/>
          <w:b/>
          <w:bCs/>
          <w:color w:val="1A2330"/>
          <w:sz w:val="32"/>
          <w:szCs w:val="32"/>
        </w:rPr>
        <w:t xml:space="preserve">6. Payment Milestones</w:t>
      </w:r>
    </w:p>
    <w:p>
      <w:pPr>
        <w:pStyle w:val="Heading2"/>
        <w:spacing w:after="120" w:before="240" w:line="312"/>
      </w:pPr>
      <w:r>
        <w:rPr>
          <w:rFonts w:ascii="Calibri" w:eastAsia="Microsoft YaHei"/>
          <w:b/>
          <w:bCs/>
          <w:color w:val="1A2330"/>
          <w:sz w:val="26"/>
          <w:szCs w:val="26"/>
        </w:rPr>
        <w:t xml:space="preserve">6.1 Billing Schedule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2700"/>
        <w:gridCol w:w="900"/>
        <w:gridCol w:w="1200"/>
        <w:gridCol w:w="1300"/>
        <w:gridCol w:w="3300"/>
      </w:tblGrid>
      <w:tr>
        <w:trPr>
          <w:cantSplit/>
          <w:tblHeader/>
        </w:trPr>
        <w:tc>
          <w:tcPr>
            <w:shd w:fill="D4875A" w:val="clear"/>
            <w:tcMar>
              <w:top w:type="dxa" w:w="80"/>
              <w:left w:type="dxa" w:w="120"/>
              <w:bottom w:type="dxa" w:w="80"/>
              <w:right w:type="dxa" w:w="120"/>
            </w:tcMar>
          </w:tcPr>
          <w:p>
            <w:pPr>
              <w:spacing w:after="40" w:before="40" w:line="280"/>
              <w:jc w:val="left"/>
            </w:pPr>
            <w:r>
              <w:rPr>
                <w:rFonts w:ascii="Calibri" w:eastAsia="Microsoft YaHei"/>
                <w:b/>
                <w:bCs/>
                <w:color w:val="FFFFFF"/>
                <w:sz w:val="20"/>
                <w:szCs w:val="20"/>
              </w:rPr>
              <w:t xml:space="preserve">ID</w:t>
            </w:r>
          </w:p>
        </w:tc>
        <w:tc>
          <w:tcPr>
            <w:shd w:fill="D4875A" w:val="clear"/>
            <w:tcMar>
              <w:top w:type="dxa" w:w="80"/>
              <w:left w:type="dxa" w:w="120"/>
              <w:bottom w:type="dxa" w:w="80"/>
              <w:right w:type="dxa" w:w="120"/>
            </w:tcMar>
          </w:tcPr>
          <w:p>
            <w:pPr>
              <w:spacing w:after="40" w:before="40" w:line="280"/>
              <w:jc w:val="left"/>
            </w:pPr>
            <w:r>
              <w:rPr>
                <w:rFonts w:ascii="Calibri" w:eastAsia="Microsoft YaHei"/>
                <w:b/>
                <w:bCs/>
                <w:color w:val="FFFFFF"/>
                <w:sz w:val="20"/>
                <w:szCs w:val="20"/>
              </w:rPr>
              <w:t xml:space="preserve">Milestone</w:t>
            </w:r>
          </w:p>
        </w:tc>
        <w:tc>
          <w:tcPr>
            <w:shd w:fill="D4875A" w:val="clear"/>
            <w:tcMar>
              <w:top w:type="dxa" w:w="80"/>
              <w:left w:type="dxa" w:w="120"/>
              <w:bottom w:type="dxa" w:w="80"/>
              <w:right w:type="dxa" w:w="120"/>
            </w:tcMar>
          </w:tcPr>
          <w:p>
            <w:pPr>
              <w:spacing w:after="40" w:before="40" w:line="280"/>
              <w:jc w:val="left"/>
            </w:pPr>
            <w:r>
              <w:rPr>
                <w:rFonts w:ascii="Calibri" w:eastAsia="Microsoft YaHei"/>
                <w:b/>
                <w:bCs/>
                <w:color w:val="FFFFFF"/>
                <w:sz w:val="20"/>
                <w:szCs w:val="20"/>
              </w:rPr>
              <w:t xml:space="preserve">% of Total</w:t>
            </w:r>
          </w:p>
        </w:tc>
        <w:tc>
          <w:tcPr>
            <w:shd w:fill="D4875A" w:val="clear"/>
            <w:tcMar>
              <w:top w:type="dxa" w:w="80"/>
              <w:left w:type="dxa" w:w="120"/>
              <w:bottom w:type="dxa" w:w="80"/>
              <w:right w:type="dxa" w:w="120"/>
            </w:tcMar>
          </w:tcPr>
          <w:p>
            <w:pPr>
              <w:spacing w:after="40" w:before="40" w:line="280"/>
              <w:jc w:val="left"/>
            </w:pPr>
            <w:r>
              <w:rPr>
                <w:rFonts w:ascii="Calibri" w:eastAsia="Microsoft YaHei"/>
                <w:b/>
                <w:bCs/>
                <w:color w:val="FFFFFF"/>
                <w:sz w:val="20"/>
                <w:szCs w:val="20"/>
              </w:rPr>
              <w:t xml:space="preserve">Invoice Date</w:t>
            </w:r>
          </w:p>
        </w:tc>
        <w:tc>
          <w:tcPr>
            <w:shd w:fill="D4875A" w:val="clear"/>
            <w:tcMar>
              <w:top w:type="dxa" w:w="80"/>
              <w:left w:type="dxa" w:w="120"/>
              <w:bottom w:type="dxa" w:w="80"/>
              <w:right w:type="dxa" w:w="120"/>
            </w:tcMar>
          </w:tcPr>
          <w:p>
            <w:pPr>
              <w:spacing w:after="40" w:before="40" w:line="280"/>
              <w:jc w:val="left"/>
            </w:pPr>
            <w:r>
              <w:rPr>
                <w:rFonts w:ascii="Calibri" w:eastAsia="Microsoft YaHei"/>
                <w:b/>
                <w:bCs/>
                <w:color w:val="FFFFFF"/>
                <w:sz w:val="20"/>
                <w:szCs w:val="20"/>
              </w:rPr>
              <w:t xml:space="preserve">Amount (USD)</w:t>
            </w:r>
          </w:p>
        </w:tc>
        <w:tc>
          <w:tcPr>
            <w:shd w:fill="D4875A" w:val="clear"/>
            <w:tcMar>
              <w:top w:type="dxa" w:w="80"/>
              <w:left w:type="dxa" w:w="120"/>
              <w:bottom w:type="dxa" w:w="80"/>
              <w:right w:type="dxa" w:w="120"/>
            </w:tcMar>
          </w:tcPr>
          <w:p>
            <w:pPr>
              <w:spacing w:after="40" w:before="40" w:line="280"/>
              <w:jc w:val="left"/>
            </w:pPr>
            <w:r>
              <w:rPr>
                <w:rFonts w:ascii="Calibri" w:eastAsia="Microsoft YaHei"/>
                <w:b/>
                <w:bCs/>
                <w:color w:val="FFFFFF"/>
                <w:sz w:val="20"/>
                <w:szCs w:val="20"/>
              </w:rPr>
              <w:t xml:space="preserve">Acceptance Criteria</w:t>
            </w:r>
          </w:p>
        </w:tc>
      </w:tr>
      <w:tr>
        <w:trPr>
          <w:cantSplit/>
          <w:tblHeader w:val="false"/>
        </w:trPr>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M1</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Phase 0 Sign-off — Solution Design</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15%</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2026-07-31</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13,800</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Signed solution design; baselines; Figma prototype; Threat Model; DFD accepted</w:t>
            </w:r>
          </w:p>
        </w:tc>
      </w:tr>
      <w:tr>
        <w:trPr>
          <w:cantSplit/>
          <w:tblHeader w:val="false"/>
        </w:trPr>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M2</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Phase 1 Mid-Point — Pilot Beta</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20%</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2026-08-28</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18,400</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LAT beta in pilot country; capture + AI draft + review workbench functional</w:t>
            </w:r>
          </w:p>
        </w:tc>
      </w:tr>
      <w:tr>
        <w:trPr>
          <w:cantSplit/>
          <w:tblHeader w:val="false"/>
        </w:trPr>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M3</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Phase 1 End — Pilot Go-Live</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25%</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2026-09-18</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23,000</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Pilot go-live; UAT sign-off; pilot KPI validation report accepted</w:t>
            </w:r>
          </w:p>
        </w:tc>
      </w:tr>
      <w:tr>
        <w:trPr>
          <w:cantSplit/>
          <w:tblHeader w:val="false"/>
        </w:trPr>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M4</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Phase 2 Mid-Point — Wave 1 Country 2-3 Live</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20%</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2026-10-30</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18,400</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Country 2-3 live; training complete; adoption dashboard live</w:t>
            </w:r>
          </w:p>
        </w:tc>
      </w:tr>
      <w:tr>
        <w:trPr>
          <w:cantSplit/>
          <w:tblHeader w:val="false"/>
        </w:trPr>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M5</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Phase 2 End — Wave 1 Complete &amp; Hypercare Closed</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20%</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2026-12-07</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18,400</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Wave 1 complete; bidirectional Salesforce sync; hypercare closed; Wave 2 SOW prepared</w:t>
            </w:r>
          </w:p>
        </w:tc>
      </w:tr>
      <w:tr>
        <w:trPr>
          <w:cantSplit/>
          <w:tblHeader w:val="false"/>
        </w:trPr>
        <w:tc>
          <w:tcPr>
            <w:shd w:fill="FFFFFF" w:val="clear"/>
            <w:tcMar>
              <w:top w:type="dxa" w:w="80"/>
              <w:left w:type="dxa" w:w="120"/>
              <w:bottom w:type="dxa" w:w="80"/>
              <w:right w:type="dxa" w:w="120"/>
            </w:tcMar>
          </w:tcPr>
          <w:p>
            <w:pPr>
              <w:spacing w:after="40" w:before="40" w:line="280"/>
              <w:jc w:val="left"/>
            </w:pPr>
            <w:r>
              <w:rPr>
                <w:rFonts w:ascii="Calibri" w:eastAsia="Microsoft YaHei"/>
                <w:b/>
                <w:bCs/>
                <w:color w:val="37352F"/>
                <w:sz w:val="20"/>
                <w:szCs w:val="20"/>
              </w:rPr>
              <w:t xml:space="preserve">TOTAL</w:t>
            </w:r>
          </w:p>
        </w:tc>
        <w:tc>
          <w:tcPr>
            <w:shd w:fill="FFFFFF" w:val="clear"/>
            <w:tcMar>
              <w:top w:type="dxa" w:w="80"/>
              <w:left w:type="dxa" w:w="120"/>
              <w:bottom w:type="dxa" w:w="80"/>
              <w:right w:type="dxa" w:w="120"/>
            </w:tcMar>
          </w:tcPr>
          <w:p>
            <w:pPr>
              <w:spacing w:after="40" w:before="40" w:line="280"/>
              <w:jc w:val="left"/>
            </w:pPr>
            <w:r>
              <w:rPr>
                <w:rFonts w:ascii="Calibri" w:eastAsia="Microsoft YaHei"/>
                <w:b/>
                <w:bCs/>
                <w:color w:val="37352F"/>
                <w:sz w:val="20"/>
                <w:szCs w:val="20"/>
              </w:rPr>
              <w:t xml:space="preserve">All milestones</w:t>
            </w:r>
          </w:p>
        </w:tc>
        <w:tc>
          <w:tcPr>
            <w:shd w:fill="FFFFFF" w:val="clear"/>
            <w:tcMar>
              <w:top w:type="dxa" w:w="80"/>
              <w:left w:type="dxa" w:w="120"/>
              <w:bottom w:type="dxa" w:w="80"/>
              <w:right w:type="dxa" w:w="120"/>
            </w:tcMar>
          </w:tcPr>
          <w:p>
            <w:pPr>
              <w:spacing w:after="40" w:before="40" w:line="280"/>
              <w:jc w:val="left"/>
            </w:pPr>
            <w:r>
              <w:rPr>
                <w:rFonts w:ascii="Calibri" w:eastAsia="Microsoft YaHei"/>
                <w:b/>
                <w:bCs/>
                <w:color w:val="37352F"/>
                <w:sz w:val="20"/>
                <w:szCs w:val="20"/>
              </w:rPr>
              <w:t xml:space="preserve">100%</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
            </w:r>
          </w:p>
        </w:tc>
        <w:tc>
          <w:tcPr>
            <w:shd w:fill="FFFFFF" w:val="clear"/>
            <w:tcMar>
              <w:top w:type="dxa" w:w="80"/>
              <w:left w:type="dxa" w:w="120"/>
              <w:bottom w:type="dxa" w:w="80"/>
              <w:right w:type="dxa" w:w="120"/>
            </w:tcMar>
          </w:tcPr>
          <w:p>
            <w:pPr>
              <w:spacing w:after="40" w:before="40" w:line="280"/>
              <w:jc w:val="left"/>
            </w:pPr>
            <w:r>
              <w:rPr>
                <w:rFonts w:ascii="Calibri" w:eastAsia="Microsoft YaHei"/>
                <w:b/>
                <w:bCs/>
                <w:color w:val="37352F"/>
                <w:sz w:val="20"/>
                <w:szCs w:val="20"/>
              </w:rPr>
              <w:t xml:space="preserve">92,000</w:t>
            </w:r>
          </w:p>
        </w:tc>
        <w:tc>
          <w:tcPr>
            <w:shd w:fill="FFFFFF" w:val="clear"/>
            <w:tcMar>
              <w:top w:type="dxa" w:w="80"/>
              <w:left w:type="dxa" w:w="120"/>
              <w:bottom w:type="dxa" w:w="80"/>
              <w:right w:type="dxa" w:w="120"/>
            </w:tcMar>
          </w:tcPr>
          <w:p>
            <w:pPr>
              <w:spacing w:after="40" w:before="40" w:line="280"/>
              <w:jc w:val="left"/>
            </w:pPr>
            <w:r>
              <w:rPr>
                <w:rFonts w:ascii="Calibri" w:eastAsia="Microsoft YaHei"/>
                <w:b/>
                <w:bCs/>
                <w:color w:val="37352F"/>
                <w:sz w:val="20"/>
                <w:szCs w:val="20"/>
              </w:rPr>
              <w:t xml:space="preserve">Sum of milestone amounts = $92,000 fixed price</w:t>
            </w:r>
          </w:p>
        </w:tc>
      </w:tr>
    </w:tbl>
    <w:p>
      <w:pPr>
        <w:pStyle w:val="Heading2"/>
        <w:spacing w:after="120" w:before="240" w:line="312"/>
      </w:pPr>
      <w:r>
        <w:rPr>
          <w:rFonts w:ascii="Calibri" w:eastAsia="Microsoft YaHei"/>
          <w:b/>
          <w:bCs/>
          <w:color w:val="1A2330"/>
          <w:sz w:val="26"/>
          <w:szCs w:val="26"/>
        </w:rPr>
        <w:t xml:space="preserve">6.2 Payment Terms</w:t>
      </w:r>
    </w:p>
    <w:p>
      <w:pPr>
        <w:spacing w:after="60" w:before="60" w:line="312"/>
        <w:ind w:left="360" w:hanging="220"/>
      </w:pPr>
      <w:r>
        <w:rPr>
          <w:rFonts w:ascii="Calibri" w:eastAsia="Microsoft YaHei"/>
          <w:b/>
          <w:bCs/>
          <w:color w:val="D4875A"/>
          <w:sz w:val="22"/>
          <w:szCs w:val="22"/>
        </w:rPr>
        <w:t xml:space="preserve">•  </w:t>
      </w:r>
      <w:r>
        <w:rPr>
          <w:rFonts w:ascii="Calibri" w:eastAsia="Microsoft YaHei"/>
          <w:color w:val="37352F"/>
          <w:sz w:val="22"/>
          <w:szCs w:val="22"/>
        </w:rPr>
        <w:t xml:space="preserve">Advance: 30% of M1 invoiced on contract execution; balance on M1 acceptance.</w:t>
      </w:r>
    </w:p>
    <w:p>
      <w:pPr>
        <w:spacing w:after="60" w:before="60" w:line="312"/>
        <w:ind w:left="360" w:hanging="220"/>
      </w:pPr>
      <w:r>
        <w:rPr>
          <w:rFonts w:ascii="Calibri" w:eastAsia="Microsoft YaHei"/>
          <w:b/>
          <w:bCs/>
          <w:color w:val="D4875A"/>
          <w:sz w:val="22"/>
          <w:szCs w:val="22"/>
        </w:rPr>
        <w:t xml:space="preserve">•  </w:t>
      </w:r>
      <w:r>
        <w:rPr>
          <w:rFonts w:ascii="Calibri" w:eastAsia="Microsoft YaHei"/>
          <w:color w:val="37352F"/>
          <w:sz w:val="22"/>
          <w:szCs w:val="22"/>
        </w:rPr>
        <w:t xml:space="preserve">Subsequent Bills: Net-15 from milestone acceptance. Late payments beyond 30 days incur 1.5% per month finance charge.</w:t>
      </w:r>
    </w:p>
    <w:p>
      <w:pPr>
        <w:spacing w:after="60" w:before="60" w:line="312"/>
        <w:ind w:left="360" w:hanging="220"/>
      </w:pPr>
      <w:r>
        <w:rPr>
          <w:rFonts w:ascii="Calibri" w:eastAsia="Microsoft YaHei"/>
          <w:b/>
          <w:bCs/>
          <w:color w:val="D4875A"/>
          <w:sz w:val="22"/>
          <w:szCs w:val="22"/>
        </w:rPr>
        <w:t xml:space="preserve">•  </w:t>
      </w:r>
      <w:r>
        <w:rPr>
          <w:rFonts w:ascii="Calibri" w:eastAsia="Microsoft YaHei"/>
          <w:color w:val="37352F"/>
          <w:sz w:val="22"/>
          <w:szCs w:val="22"/>
        </w:rPr>
        <w:t xml:space="preserve">Acceptance Window: 10 business days from delivery notification. Silent acceptance applies if no written rejection.</w:t>
      </w:r>
    </w:p>
    <w:p>
      <w:pPr>
        <w:spacing w:after="60" w:before="60" w:line="312"/>
        <w:ind w:left="360" w:hanging="220"/>
      </w:pPr>
      <w:r>
        <w:rPr>
          <w:rFonts w:ascii="Calibri" w:eastAsia="Microsoft YaHei"/>
          <w:b/>
          <w:bCs/>
          <w:color w:val="D4875A"/>
          <w:sz w:val="22"/>
          <w:szCs w:val="22"/>
        </w:rPr>
        <w:t xml:space="preserve">•  </w:t>
      </w:r>
      <w:r>
        <w:rPr>
          <w:rFonts w:ascii="Calibri" w:eastAsia="Microsoft YaHei"/>
          <w:color w:val="37352F"/>
          <w:sz w:val="22"/>
          <w:szCs w:val="22"/>
        </w:rPr>
        <w:t xml:space="preserve">Change Control: Scope changes greater than 5% of remaining budget require Change Control Board approval; billed as change orders.</w:t>
      </w:r>
    </w:p>
    <w:p>
      <w:pPr>
        <w:spacing w:after="60" w:before="60" w:line="312"/>
        <w:ind w:left="360" w:hanging="220"/>
      </w:pPr>
      <w:r>
        <w:rPr>
          <w:rFonts w:ascii="Calibri" w:eastAsia="Microsoft YaHei"/>
          <w:b/>
          <w:bCs/>
          <w:color w:val="D4875A"/>
          <w:sz w:val="22"/>
          <w:szCs w:val="22"/>
        </w:rPr>
        <w:t xml:space="preserve">•  </w:t>
      </w:r>
      <w:r>
        <w:rPr>
          <w:rFonts w:ascii="Calibri" w:eastAsia="Microsoft YaHei"/>
          <w:color w:val="37352F"/>
          <w:sz w:val="22"/>
          <w:szCs w:val="22"/>
        </w:rPr>
        <w:t xml:space="preserve">Withholding: 10% of each milestone retained until M5 acceptance; released on Wave 1 go-live.</w:t>
      </w:r>
    </w:p>
    <w:p>
      <w:pPr>
        <w:spacing w:after="60" w:before="60" w:line="312"/>
        <w:ind w:left="360" w:hanging="220"/>
      </w:pPr>
      <w:r>
        <w:rPr>
          <w:rFonts w:ascii="Calibri" w:eastAsia="Microsoft YaHei"/>
          <w:b/>
          <w:bCs/>
          <w:color w:val="D4875A"/>
          <w:sz w:val="22"/>
          <w:szCs w:val="22"/>
        </w:rPr>
        <w:t xml:space="preserve">•  </w:t>
      </w:r>
      <w:r>
        <w:rPr>
          <w:rFonts w:ascii="Calibri" w:eastAsia="Microsoft YaHei"/>
          <w:color w:val="37352F"/>
          <w:sz w:val="22"/>
          <w:szCs w:val="22"/>
        </w:rPr>
        <w:t xml:space="preserve">Currency: All invoices in USD. Bank charges outside vendor country borne by client.</w:t>
      </w:r>
    </w:p>
    <w:p>
      <w:pPr>
        <w:spacing w:after="60" w:before="60" w:line="312"/>
        <w:ind w:left="360" w:hanging="220"/>
      </w:pPr>
      <w:r>
        <w:rPr>
          <w:rFonts w:ascii="Calibri" w:eastAsia="Microsoft YaHei"/>
          <w:b/>
          <w:bCs/>
          <w:color w:val="D4875A"/>
          <w:sz w:val="22"/>
          <w:szCs w:val="22"/>
        </w:rPr>
        <w:t xml:space="preserve">•  </w:t>
      </w:r>
      <w:r>
        <w:rPr>
          <w:rFonts w:ascii="Calibri" w:eastAsia="Microsoft YaHei"/>
          <w:color w:val="37352F"/>
          <w:sz w:val="22"/>
          <w:szCs w:val="22"/>
        </w:rPr>
        <w:t xml:space="preserve">Tax: Withholding tax (if applicable) deducted at source; vendor provides W-8BEN-E equivalent.</w:t>
      </w:r>
    </w:p>
    <w:p>
      <w:pPr>
        <w:spacing w:after="60" w:before="60" w:line="312"/>
        <w:ind w:left="360" w:hanging="220"/>
      </w:pPr>
      <w:r>
        <w:rPr>
          <w:rFonts w:ascii="Calibri" w:eastAsia="Microsoft YaHei"/>
          <w:b/>
          <w:bCs/>
          <w:color w:val="D4875A"/>
          <w:sz w:val="22"/>
          <w:szCs w:val="22"/>
        </w:rPr>
        <w:t xml:space="preserve">•  </w:t>
      </w:r>
      <w:r>
        <w:rPr>
          <w:rFonts w:ascii="Calibri" w:eastAsia="Microsoft YaHei"/>
          <w:color w:val="37352F"/>
          <w:sz w:val="22"/>
          <w:szCs w:val="22"/>
        </w:rPr>
        <w:t xml:space="preserve">Liquidated Damages: $1,500 per week of delay beyond Week 22 attributable to vendor causes, capped at 10% of fixed price.</w:t>
      </w:r>
    </w:p>
    <w:p>
      <w:pPr>
        <w:spacing w:after="60" w:before="60" w:line="312"/>
        <w:ind w:left="360" w:hanging="220"/>
      </w:pPr>
      <w:r>
        <w:rPr>
          <w:rFonts w:ascii="Calibri" w:eastAsia="Microsoft YaHei"/>
          <w:b/>
          <w:bCs/>
          <w:color w:val="D4875A"/>
          <w:sz w:val="22"/>
          <w:szCs w:val="22"/>
        </w:rPr>
        <w:t xml:space="preserve">•  </w:t>
      </w:r>
      <w:r>
        <w:rPr>
          <w:rFonts w:ascii="Calibri" w:eastAsia="Microsoft YaHei"/>
          <w:color w:val="37352F"/>
          <w:sz w:val="22"/>
          <w:szCs w:val="22"/>
        </w:rPr>
        <w:t xml:space="preserve">Warranty: 30-day hypercare plus 60-day bug-fix warranty (90 days total) from M5 acceptance.</w:t>
      </w:r>
    </w:p>
    <w:p>
      <w:pPr>
        <w:pStyle w:val="Heading1"/>
        <w:spacing w:after="200" w:before="360" w:line="312"/>
      </w:pPr>
      <w:r>
        <w:rPr>
          <w:rFonts w:ascii="Calibri" w:eastAsia="Microsoft YaHei"/>
          <w:b/>
          <w:bCs/>
          <w:color w:val="1A2330"/>
          <w:sz w:val="32"/>
          <w:szCs w:val="32"/>
        </w:rPr>
        <w:t xml:space="preserve">7. Risk Register</w:t>
      </w:r>
    </w:p>
    <w:p>
      <w:pPr>
        <w:pStyle w:val="Heading2"/>
        <w:spacing w:after="120" w:before="240" w:line="312"/>
      </w:pPr>
      <w:r>
        <w:rPr>
          <w:rFonts w:ascii="Calibri" w:eastAsia="Microsoft YaHei"/>
          <w:b/>
          <w:bCs/>
          <w:color w:val="1A2330"/>
          <w:sz w:val="26"/>
          <w:szCs w:val="26"/>
        </w:rPr>
        <w:t xml:space="preserve">7.1 Risk Posture</w:t>
      </w:r>
    </w:p>
    <w:p>
      <w:pPr>
        <w:spacing w:after="80" w:before="120" w:line="312"/>
        <w:jc w:val="both"/>
      </w:pPr>
      <w:r>
        <w:rPr>
          <w:rFonts w:ascii="Calibri" w:eastAsia="Microsoft YaHei"/>
          <w:b w:val="false"/>
          <w:bCs w:val="false"/>
          <w:i w:val="false"/>
          <w:iCs w:val="false"/>
          <w:color w:val="37352F"/>
          <w:sz w:val="22"/>
          <w:szCs w:val="22"/>
        </w:rPr>
        <w:t xml:space="preserve">This is a fixed-price engagement. The consortium bears all cost-overrun risk within the $92,000 fixed price. No separate contingency line is held. Risks R1 through R9 are mitigated through the design and delivery approach; any realised risk that increases vendor cost is absorbed by the consortium, not billed to Aceli as a change order unless the trigger is an Aceli-side scope change per the Change Control clause. This posture aligns the consortium’s commercial interest with Aceli’s delivery interest: we are incentivised to deliver on time and within scope because we bear the overrun.</w:t>
      </w:r>
    </w:p>
    <w:p>
      <w:pPr>
        <w:pStyle w:val="Heading2"/>
        <w:spacing w:after="120" w:before="240" w:line="312"/>
      </w:pPr>
      <w:r>
        <w:rPr>
          <w:rFonts w:ascii="Calibri" w:eastAsia="Microsoft YaHei"/>
          <w:b/>
          <w:bCs/>
          <w:color w:val="1A2330"/>
          <w:sz w:val="26"/>
          <w:szCs w:val="26"/>
        </w:rPr>
        <w:t xml:space="preserve">7.2 Risk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2600"/>
        <w:gridCol w:w="1100"/>
        <w:gridCol w:w="800"/>
        <w:gridCol w:w="3300"/>
        <w:gridCol w:w="1100"/>
      </w:tblGrid>
      <w:tr>
        <w:trPr>
          <w:cantSplit/>
          <w:tblHeader/>
        </w:trPr>
        <w:tc>
          <w:tcPr>
            <w:shd w:fill="D4875A" w:val="clear"/>
            <w:tcMar>
              <w:top w:type="dxa" w:w="80"/>
              <w:left w:type="dxa" w:w="120"/>
              <w:bottom w:type="dxa" w:w="80"/>
              <w:right w:type="dxa" w:w="120"/>
            </w:tcMar>
          </w:tcPr>
          <w:p>
            <w:pPr>
              <w:spacing w:after="40" w:before="40" w:line="280"/>
              <w:jc w:val="left"/>
            </w:pPr>
            <w:r>
              <w:rPr>
                <w:rFonts w:ascii="Calibri" w:eastAsia="Microsoft YaHei"/>
                <w:b/>
                <w:bCs/>
                <w:color w:val="FFFFFF"/>
                <w:sz w:val="20"/>
                <w:szCs w:val="20"/>
              </w:rPr>
              <w:t xml:space="preserve">ID</w:t>
            </w:r>
          </w:p>
        </w:tc>
        <w:tc>
          <w:tcPr>
            <w:shd w:fill="D4875A" w:val="clear"/>
            <w:tcMar>
              <w:top w:type="dxa" w:w="80"/>
              <w:left w:type="dxa" w:w="120"/>
              <w:bottom w:type="dxa" w:w="80"/>
              <w:right w:type="dxa" w:w="120"/>
            </w:tcMar>
          </w:tcPr>
          <w:p>
            <w:pPr>
              <w:spacing w:after="40" w:before="40" w:line="280"/>
              <w:jc w:val="left"/>
            </w:pPr>
            <w:r>
              <w:rPr>
                <w:rFonts w:ascii="Calibri" w:eastAsia="Microsoft YaHei"/>
                <w:b/>
                <w:bCs/>
                <w:color w:val="FFFFFF"/>
                <w:sz w:val="20"/>
                <w:szCs w:val="20"/>
              </w:rPr>
              <w:t xml:space="preserve">Risk</w:t>
            </w:r>
          </w:p>
        </w:tc>
        <w:tc>
          <w:tcPr>
            <w:shd w:fill="D4875A" w:val="clear"/>
            <w:tcMar>
              <w:top w:type="dxa" w:w="80"/>
              <w:left w:type="dxa" w:w="120"/>
              <w:bottom w:type="dxa" w:w="80"/>
              <w:right w:type="dxa" w:w="120"/>
            </w:tcMar>
          </w:tcPr>
          <w:p>
            <w:pPr>
              <w:spacing w:after="40" w:before="40" w:line="280"/>
              <w:jc w:val="left"/>
            </w:pPr>
            <w:r>
              <w:rPr>
                <w:rFonts w:ascii="Calibri" w:eastAsia="Microsoft YaHei"/>
                <w:b/>
                <w:bCs/>
                <w:color w:val="FFFFFF"/>
                <w:sz w:val="20"/>
                <w:szCs w:val="20"/>
              </w:rPr>
              <w:t xml:space="preserve">Likelihood</w:t>
            </w:r>
          </w:p>
        </w:tc>
        <w:tc>
          <w:tcPr>
            <w:shd w:fill="D4875A" w:val="clear"/>
            <w:tcMar>
              <w:top w:type="dxa" w:w="80"/>
              <w:left w:type="dxa" w:w="120"/>
              <w:bottom w:type="dxa" w:w="80"/>
              <w:right w:type="dxa" w:w="120"/>
            </w:tcMar>
          </w:tcPr>
          <w:p>
            <w:pPr>
              <w:spacing w:after="40" w:before="40" w:line="280"/>
              <w:jc w:val="left"/>
            </w:pPr>
            <w:r>
              <w:rPr>
                <w:rFonts w:ascii="Calibri" w:eastAsia="Microsoft YaHei"/>
                <w:b/>
                <w:bCs/>
                <w:color w:val="FFFFFF"/>
                <w:sz w:val="20"/>
                <w:szCs w:val="20"/>
              </w:rPr>
              <w:t xml:space="preserve">Impact</w:t>
            </w:r>
          </w:p>
        </w:tc>
        <w:tc>
          <w:tcPr>
            <w:shd w:fill="D4875A" w:val="clear"/>
            <w:tcMar>
              <w:top w:type="dxa" w:w="80"/>
              <w:left w:type="dxa" w:w="120"/>
              <w:bottom w:type="dxa" w:w="80"/>
              <w:right w:type="dxa" w:w="120"/>
            </w:tcMar>
          </w:tcPr>
          <w:p>
            <w:pPr>
              <w:spacing w:after="40" w:before="40" w:line="280"/>
              <w:jc w:val="left"/>
            </w:pPr>
            <w:r>
              <w:rPr>
                <w:rFonts w:ascii="Calibri" w:eastAsia="Microsoft YaHei"/>
                <w:b/>
                <w:bCs/>
                <w:color w:val="FFFFFF"/>
                <w:sz w:val="20"/>
                <w:szCs w:val="20"/>
              </w:rPr>
              <w:t xml:space="preserve">Mitigation</w:t>
            </w:r>
          </w:p>
        </w:tc>
        <w:tc>
          <w:tcPr>
            <w:shd w:fill="D4875A" w:val="clear"/>
            <w:tcMar>
              <w:top w:type="dxa" w:w="80"/>
              <w:left w:type="dxa" w:w="120"/>
              <w:bottom w:type="dxa" w:w="80"/>
              <w:right w:type="dxa" w:w="120"/>
            </w:tcMar>
          </w:tcPr>
          <w:p>
            <w:pPr>
              <w:spacing w:after="40" w:before="40" w:line="280"/>
              <w:jc w:val="left"/>
            </w:pPr>
            <w:r>
              <w:rPr>
                <w:rFonts w:ascii="Calibri" w:eastAsia="Microsoft YaHei"/>
                <w:b/>
                <w:bCs/>
                <w:color w:val="FFFFFF"/>
                <w:sz w:val="20"/>
                <w:szCs w:val="20"/>
              </w:rPr>
              <w:t xml:space="preserve">Owner</w:t>
            </w:r>
          </w:p>
        </w:tc>
      </w:tr>
      <w:tr>
        <w:trPr>
          <w:cantSplit/>
          <w:tblHeader w:val="false"/>
        </w:trPr>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R1</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Salesforce schema unknowns delay integration</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Medium</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High</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Schema confirmation in W1; phased field sync; sandbox-first verification</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Karthick</w:t>
            </w:r>
          </w:p>
        </w:tc>
      </w:tr>
      <w:tr>
        <w:trPr>
          <w:cantSplit/>
          <w:tblHeader w:val="false"/>
        </w:trPr>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R2</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AI transcription accuracy below target in noisy field</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Medium</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High</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Pre-pilot audio benchmarking; reviewer correction in workflow; multi-LLM fallback</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Karthick</w:t>
            </w:r>
          </w:p>
        </w:tc>
      </w:tr>
      <w:tr>
        <w:trPr>
          <w:cantSplit/>
          <w:tblHeader w:val="false"/>
        </w:trPr>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R3</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Country regulatory change requiring data residency</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Low</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High</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Multi-region deployment plan; legal review at W3 and W17</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Brian</w:t>
            </w:r>
          </w:p>
        </w:tc>
      </w:tr>
      <w:tr>
        <w:trPr>
          <w:cantSplit/>
          <w:tblHeader w:val="false"/>
        </w:trPr>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R4</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Stakeholder availability for UAT delays schedule</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Medium</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Medium</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Pre-booked UAT slots; remote async UAT fallback</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Peace</w:t>
            </w:r>
          </w:p>
        </w:tc>
      </w:tr>
      <w:tr>
        <w:trPr>
          <w:cantSplit/>
          <w:tblHeader w:val="false"/>
        </w:trPr>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R5</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LLM provider outage mid-engagement</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Low</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Medium</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Multi-LLM abstraction (Claude + GPT-4o); automatic failover; cached drafts</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Karthick</w:t>
            </w:r>
          </w:p>
        </w:tc>
      </w:tr>
      <w:tr>
        <w:trPr>
          <w:cantSplit/>
          <w:tblHeader w:val="false"/>
        </w:trPr>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R6</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Field connectivity blocks offline capture testing</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Medium</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Medium</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Offline-first PWA; pre-staged test devices; sync-on-reconnect</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Joel</w:t>
            </w:r>
          </w:p>
        </w:tc>
      </w:tr>
      <w:tr>
        <w:trPr>
          <w:cantSplit/>
          <w:tblHeader w:val="false"/>
        </w:trPr>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R7</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Change adoption risk — country teams see tool as extra admin</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Medium</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High</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Design around current flow; minimise typing; structured onboarding; train-the-trainer</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Peace</w:t>
            </w:r>
          </w:p>
        </w:tc>
      </w:tr>
      <w:tr>
        <w:trPr>
          <w:cantSplit/>
          <w:tblHeader w:val="false"/>
        </w:trPr>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R8</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Data-governance approval delays compress delivery</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Low</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High</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Lean architecture; pre-document all components; security review aligned in mobilisation</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Brian</w:t>
            </w:r>
          </w:p>
        </w:tc>
      </w:tr>
      <w:tr>
        <w:trPr>
          <w:cantSplit/>
          <w:tblHeader w:val="false"/>
        </w:trPr>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R9</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Scope expansion for additional country in Wave 1</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Low</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High</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Strict change-control board; Wave 2 parking lot; Wave 2 SOW quoted separately</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Brian</w:t>
            </w:r>
          </w:p>
        </w:tc>
      </w:tr>
    </w:tbl>
    <w:p>
      <w:pPr>
        <w:pStyle w:val="Heading1"/>
        <w:spacing w:after="200" w:before="360" w:line="312"/>
      </w:pPr>
      <w:r>
        <w:rPr>
          <w:rFonts w:ascii="Calibri" w:eastAsia="Microsoft YaHei"/>
          <w:b/>
          <w:bCs/>
          <w:color w:val="1A2330"/>
          <w:sz w:val="32"/>
          <w:szCs w:val="32"/>
        </w:rPr>
        <w:t xml:space="preserve">8. Assumptions &amp; Exclusions</w:t>
      </w:r>
    </w:p>
    <w:p>
      <w:pPr>
        <w:pStyle w:val="Heading2"/>
        <w:spacing w:after="120" w:before="240" w:line="312"/>
      </w:pPr>
      <w:r>
        <w:rPr>
          <w:rFonts w:ascii="Calibri" w:eastAsia="Microsoft YaHei"/>
          <w:b/>
          <w:bCs/>
          <w:color w:val="1A2330"/>
          <w:sz w:val="26"/>
          <w:szCs w:val="26"/>
        </w:rPr>
        <w:t xml:space="preserve">8.1 Pricing Basis</w:t>
      </w:r>
    </w:p>
    <w:p>
      <w:pPr>
        <w:spacing w:after="80" w:before="120" w:line="312"/>
        <w:jc w:val="both"/>
      </w:pPr>
      <w:r>
        <w:rPr>
          <w:rFonts w:ascii="Calibri" w:eastAsia="Microsoft YaHei"/>
          <w:b w:val="false"/>
          <w:bCs w:val="false"/>
          <w:i w:val="false"/>
          <w:iCs w:val="false"/>
          <w:color w:val="37352F"/>
          <w:sz w:val="22"/>
          <w:szCs w:val="22"/>
        </w:rPr>
        <w:t xml:space="preserve">All amounts are denominated in US dollars. No foreign-exchange conversion is required because the billing currency equals USD. Day rates are fully-loaded blended rates that include salary, benefits, paid time off, and overhead allocation. The estimate basis is bottom-up: man-day projections are multiplied by role rates and added to direct vendor costs to produce a gross resource cost of approximately $121,450, which is then discounted by 24.2% to arrive at the $92,000 net fixed price. The discount reflects the consortium’s commitment to Aceli’s mission and the reuse of pre-built AI pod components.</w:t>
      </w:r>
    </w:p>
    <w:p>
      <w:pPr>
        <w:pStyle w:val="Heading2"/>
        <w:spacing w:after="120" w:before="240" w:line="312"/>
      </w:pPr>
      <w:r>
        <w:rPr>
          <w:rFonts w:ascii="Calibri" w:eastAsia="Microsoft YaHei"/>
          <w:b/>
          <w:bCs/>
          <w:color w:val="1A2330"/>
          <w:sz w:val="26"/>
          <w:szCs w:val="26"/>
        </w:rPr>
        <w:t xml:space="preserve">8.2 Inclusions</w:t>
      </w:r>
    </w:p>
    <w:p>
      <w:pPr>
        <w:spacing w:after="60" w:before="60" w:line="312"/>
        <w:ind w:left="360" w:hanging="220"/>
      </w:pPr>
      <w:r>
        <w:rPr>
          <w:rFonts w:ascii="Calibri" w:eastAsia="Microsoft YaHei"/>
          <w:b/>
          <w:bCs/>
          <w:color w:val="D4875A"/>
          <w:sz w:val="22"/>
          <w:szCs w:val="22"/>
        </w:rPr>
        <w:t xml:space="preserve">•  </w:t>
      </w:r>
      <w:r>
        <w:rPr>
          <w:rFonts w:ascii="Calibri" w:eastAsia="Microsoft YaHei"/>
          <w:color w:val="37352F"/>
          <w:sz w:val="22"/>
          <w:szCs w:val="22"/>
        </w:rPr>
        <w:t xml:space="preserve">All personnel costs for the named team across all three phases.</w:t>
      </w:r>
    </w:p>
    <w:p>
      <w:pPr>
        <w:spacing w:after="60" w:before="60" w:line="312"/>
        <w:ind w:left="360" w:hanging="220"/>
      </w:pPr>
      <w:r>
        <w:rPr>
          <w:rFonts w:ascii="Calibri" w:eastAsia="Microsoft YaHei"/>
          <w:b/>
          <w:bCs/>
          <w:color w:val="D4875A"/>
          <w:sz w:val="22"/>
          <w:szCs w:val="22"/>
        </w:rPr>
        <w:t xml:space="preserve">•  </w:t>
      </w:r>
      <w:r>
        <w:rPr>
          <w:rFonts w:ascii="Calibri" w:eastAsia="Microsoft YaHei"/>
          <w:color w:val="37352F"/>
          <w:sz w:val="22"/>
          <w:szCs w:val="22"/>
        </w:rPr>
        <w:t xml:space="preserve">All cloud infrastructure: Vercel Pro, Neon PostgreSQL, Cloudflare R2 storage, egress.</w:t>
      </w:r>
    </w:p>
    <w:p>
      <w:pPr>
        <w:spacing w:after="60" w:before="60" w:line="312"/>
        <w:ind w:left="360" w:hanging="220"/>
      </w:pPr>
      <w:r>
        <w:rPr>
          <w:rFonts w:ascii="Calibri" w:eastAsia="Microsoft YaHei"/>
          <w:b/>
          <w:bCs/>
          <w:color w:val="D4875A"/>
          <w:sz w:val="22"/>
          <w:szCs w:val="22"/>
        </w:rPr>
        <w:t xml:space="preserve">•  </w:t>
      </w:r>
      <w:r>
        <w:rPr>
          <w:rFonts w:ascii="Calibri" w:eastAsia="Microsoft YaHei"/>
          <w:color w:val="37352F"/>
          <w:sz w:val="22"/>
          <w:szCs w:val="22"/>
        </w:rPr>
        <w:t xml:space="preserve">All third-party APIs: Claude (Anthropic) primary, GPT-4o (OpenAI) fallback, Salesforce Enterprise API, Twilio SMS.</w:t>
      </w:r>
    </w:p>
    <w:p>
      <w:pPr>
        <w:spacing w:after="60" w:before="60" w:line="312"/>
        <w:ind w:left="360" w:hanging="220"/>
      </w:pPr>
      <w:r>
        <w:rPr>
          <w:rFonts w:ascii="Calibri" w:eastAsia="Microsoft YaHei"/>
          <w:b/>
          <w:bCs/>
          <w:color w:val="D4875A"/>
          <w:sz w:val="22"/>
          <w:szCs w:val="22"/>
        </w:rPr>
        <w:t xml:space="preserve">•  </w:t>
      </w:r>
      <w:r>
        <w:rPr>
          <w:rFonts w:ascii="Calibri" w:eastAsia="Microsoft YaHei"/>
          <w:color w:val="37352F"/>
          <w:sz w:val="22"/>
          <w:szCs w:val="22"/>
        </w:rPr>
        <w:t xml:space="preserve">All tooling: GitHub, Linear, Sentry, Figma, Notion, Datadog.</w:t>
      </w:r>
    </w:p>
    <w:p>
      <w:pPr>
        <w:spacing w:after="60" w:before="60" w:line="312"/>
        <w:ind w:left="360" w:hanging="220"/>
      </w:pPr>
      <w:r>
        <w:rPr>
          <w:rFonts w:ascii="Calibri" w:eastAsia="Microsoft YaHei"/>
          <w:b/>
          <w:bCs/>
          <w:color w:val="D4875A"/>
          <w:sz w:val="22"/>
          <w:szCs w:val="22"/>
        </w:rPr>
        <w:t xml:space="preserve">•  </w:t>
      </w:r>
      <w:r>
        <w:rPr>
          <w:rFonts w:ascii="Calibri" w:eastAsia="Microsoft YaHei"/>
          <w:color w:val="37352F"/>
          <w:sz w:val="22"/>
          <w:szCs w:val="22"/>
        </w:rPr>
        <w:t xml:space="preserve">Field travel and stakeholder workshops across the five Wave 1 countries.</w:t>
      </w:r>
    </w:p>
    <w:p>
      <w:pPr>
        <w:spacing w:after="60" w:before="60" w:line="312"/>
        <w:ind w:left="360" w:hanging="220"/>
      </w:pPr>
      <w:r>
        <w:rPr>
          <w:rFonts w:ascii="Calibri" w:eastAsia="Microsoft YaHei"/>
          <w:b/>
          <w:bCs/>
          <w:color w:val="D4875A"/>
          <w:sz w:val="22"/>
          <w:szCs w:val="22"/>
        </w:rPr>
        <w:t xml:space="preserve">•  </w:t>
      </w:r>
      <w:r>
        <w:rPr>
          <w:rFonts w:ascii="Calibri" w:eastAsia="Microsoft YaHei"/>
          <w:color w:val="37352F"/>
          <w:sz w:val="22"/>
          <w:szCs w:val="22"/>
        </w:rPr>
        <w:t xml:space="preserve">30-day hypercare plus 60-day bug-fix warranty (90 days total) from M5 acceptance.</w:t>
      </w:r>
    </w:p>
    <w:p>
      <w:pPr>
        <w:spacing w:after="60" w:before="60" w:line="312"/>
        <w:ind w:left="360" w:hanging="220"/>
      </w:pPr>
      <w:r>
        <w:rPr>
          <w:rFonts w:ascii="Calibri" w:eastAsia="Microsoft YaHei"/>
          <w:b/>
          <w:bCs/>
          <w:color w:val="D4875A"/>
          <w:sz w:val="22"/>
          <w:szCs w:val="22"/>
        </w:rPr>
        <w:t xml:space="preserve">•  </w:t>
      </w:r>
      <w:r>
        <w:rPr>
          <w:rFonts w:ascii="Calibri" w:eastAsia="Microsoft YaHei"/>
          <w:color w:val="37352F"/>
          <w:sz w:val="22"/>
          <w:szCs w:val="22"/>
        </w:rPr>
        <w:t xml:space="preserve">Full source code transfer to Aceli upon final payment.</w:t>
      </w:r>
    </w:p>
    <w:p>
      <w:pPr>
        <w:spacing w:after="60" w:before="60" w:line="312"/>
        <w:ind w:left="360" w:hanging="220"/>
      </w:pPr>
      <w:r>
        <w:rPr>
          <w:rFonts w:ascii="Calibri" w:eastAsia="Microsoft YaHei"/>
          <w:b/>
          <w:bCs/>
          <w:color w:val="D4875A"/>
          <w:sz w:val="22"/>
          <w:szCs w:val="22"/>
        </w:rPr>
        <w:t xml:space="preserve">•  </w:t>
      </w:r>
      <w:r>
        <w:rPr>
          <w:rFonts w:ascii="Calibri" w:eastAsia="Microsoft YaHei"/>
          <w:color w:val="37352F"/>
          <w:sz w:val="22"/>
          <w:szCs w:val="22"/>
        </w:rPr>
        <w:t xml:space="preserve">OpenTelemetry-native observability from Week 1, including weekly SLO reports to Aceli.</w:t>
      </w:r>
    </w:p>
    <w:p>
      <w:pPr>
        <w:pStyle w:val="Heading2"/>
        <w:spacing w:after="120" w:before="240" w:line="312"/>
      </w:pPr>
      <w:r>
        <w:rPr>
          <w:rFonts w:ascii="Calibri" w:eastAsia="Microsoft YaHei"/>
          <w:b/>
          <w:bCs/>
          <w:color w:val="1A2330"/>
          <w:sz w:val="26"/>
          <w:szCs w:val="26"/>
        </w:rPr>
        <w:t xml:space="preserve">8.3 Exclusions</w:t>
      </w:r>
    </w:p>
    <w:p>
      <w:pPr>
        <w:spacing w:after="60" w:before="60" w:line="312"/>
        <w:ind w:left="360" w:hanging="220"/>
      </w:pPr>
      <w:r>
        <w:rPr>
          <w:rFonts w:ascii="Calibri" w:eastAsia="Microsoft YaHei"/>
          <w:b/>
          <w:bCs/>
          <w:color w:val="D4875A"/>
          <w:sz w:val="22"/>
          <w:szCs w:val="22"/>
        </w:rPr>
        <w:t xml:space="preserve">•  </w:t>
      </w:r>
      <w:r>
        <w:rPr>
          <w:rFonts w:ascii="Calibri" w:eastAsia="Microsoft YaHei"/>
          <w:color w:val="37352F"/>
          <w:sz w:val="22"/>
          <w:szCs w:val="22"/>
        </w:rPr>
        <w:t xml:space="preserve">Aceli-side staff time for stakeholder interviews, UAT, and acceptance activities.</w:t>
      </w:r>
    </w:p>
    <w:p>
      <w:pPr>
        <w:spacing w:after="60" w:before="60" w:line="312"/>
        <w:ind w:left="360" w:hanging="220"/>
      </w:pPr>
      <w:r>
        <w:rPr>
          <w:rFonts w:ascii="Calibri" w:eastAsia="Microsoft YaHei"/>
          <w:b/>
          <w:bCs/>
          <w:color w:val="D4875A"/>
          <w:sz w:val="22"/>
          <w:szCs w:val="22"/>
        </w:rPr>
        <w:t xml:space="preserve">•  </w:t>
      </w:r>
      <w:r>
        <w:rPr>
          <w:rFonts w:ascii="Calibri" w:eastAsia="Microsoft YaHei"/>
          <w:color w:val="37352F"/>
          <w:sz w:val="22"/>
          <w:szCs w:val="22"/>
        </w:rPr>
        <w:t xml:space="preserve">Salesforce licenses (existing Aceli licenses used).</w:t>
      </w:r>
    </w:p>
    <w:p>
      <w:pPr>
        <w:spacing w:after="60" w:before="60" w:line="312"/>
        <w:ind w:left="360" w:hanging="220"/>
      </w:pPr>
      <w:r>
        <w:rPr>
          <w:rFonts w:ascii="Calibri" w:eastAsia="Microsoft YaHei"/>
          <w:b/>
          <w:bCs/>
          <w:color w:val="D4875A"/>
          <w:sz w:val="22"/>
          <w:szCs w:val="22"/>
        </w:rPr>
        <w:t xml:space="preserve">•  </w:t>
      </w:r>
      <w:r>
        <w:rPr>
          <w:rFonts w:ascii="Calibri" w:eastAsia="Microsoft YaHei"/>
          <w:color w:val="37352F"/>
          <w:sz w:val="22"/>
          <w:szCs w:val="22"/>
        </w:rPr>
        <w:t xml:space="preserve">End-user device procurement (country teams use their own devices).</w:t>
      </w:r>
    </w:p>
    <w:p>
      <w:pPr>
        <w:spacing w:after="60" w:before="60" w:line="312"/>
        <w:ind w:left="360" w:hanging="220"/>
      </w:pPr>
      <w:r>
        <w:rPr>
          <w:rFonts w:ascii="Calibri" w:eastAsia="Microsoft YaHei"/>
          <w:b/>
          <w:bCs/>
          <w:color w:val="D4875A"/>
          <w:sz w:val="22"/>
          <w:szCs w:val="22"/>
        </w:rPr>
        <w:t xml:space="preserve">•  </w:t>
      </w:r>
      <w:r>
        <w:rPr>
          <w:rFonts w:ascii="Calibri" w:eastAsia="Microsoft YaHei"/>
          <w:color w:val="37352F"/>
          <w:sz w:val="22"/>
          <w:szCs w:val="22"/>
        </w:rPr>
        <w:t xml:space="preserve">In-country regulatory filing fees.</w:t>
      </w:r>
    </w:p>
    <w:p>
      <w:pPr>
        <w:spacing w:after="60" w:before="60" w:line="312"/>
        <w:ind w:left="360" w:hanging="220"/>
      </w:pPr>
      <w:r>
        <w:rPr>
          <w:rFonts w:ascii="Calibri" w:eastAsia="Microsoft YaHei"/>
          <w:b/>
          <w:bCs/>
          <w:color w:val="D4875A"/>
          <w:sz w:val="22"/>
          <w:szCs w:val="22"/>
        </w:rPr>
        <w:t xml:space="preserve">•  </w:t>
      </w:r>
      <w:r>
        <w:rPr>
          <w:rFonts w:ascii="Calibri" w:eastAsia="Microsoft YaHei"/>
          <w:color w:val="37352F"/>
          <w:sz w:val="22"/>
          <w:szCs w:val="22"/>
        </w:rPr>
        <w:t xml:space="preserve">Wave 2 countries (out of scope; will be quoted as separate SOW after Phase 1 learnings, indicative range $30K to $45K for 2 additional countries).</w:t>
      </w:r>
    </w:p>
    <w:p>
      <w:pPr>
        <w:spacing w:after="60" w:before="60" w:line="312"/>
        <w:ind w:left="360" w:hanging="220"/>
      </w:pPr>
      <w:r>
        <w:rPr>
          <w:rFonts w:ascii="Calibri" w:eastAsia="Microsoft YaHei"/>
          <w:b/>
          <w:bCs/>
          <w:color w:val="D4875A"/>
          <w:sz w:val="22"/>
          <w:szCs w:val="22"/>
        </w:rPr>
        <w:t xml:space="preserve">•  </w:t>
      </w:r>
      <w:r>
        <w:rPr>
          <w:rFonts w:ascii="Calibri" w:eastAsia="Microsoft YaHei"/>
          <w:color w:val="37352F"/>
          <w:sz w:val="22"/>
          <w:szCs w:val="22"/>
        </w:rPr>
        <w:t xml:space="preserve">Extended support beyond the 90-day warranty period (contracted separately).</w:t>
      </w:r>
    </w:p>
    <w:p>
      <w:pPr>
        <w:pStyle w:val="Heading2"/>
        <w:spacing w:after="120" w:before="240" w:line="312"/>
      </w:pPr>
      <w:r>
        <w:rPr>
          <w:rFonts w:ascii="Calibri" w:eastAsia="Microsoft YaHei"/>
          <w:b/>
          <w:bCs/>
          <w:color w:val="1A2330"/>
          <w:sz w:val="26"/>
          <w:szCs w:val="26"/>
        </w:rPr>
        <w:t xml:space="preserve">8.4 Change Control</w:t>
      </w:r>
    </w:p>
    <w:p>
      <w:pPr>
        <w:spacing w:after="80" w:before="120" w:line="312"/>
        <w:jc w:val="both"/>
      </w:pPr>
      <w:r>
        <w:rPr>
          <w:rFonts w:ascii="Calibri" w:eastAsia="Microsoft YaHei"/>
          <w:b w:val="false"/>
          <w:bCs w:val="false"/>
          <w:i w:val="false"/>
          <w:iCs w:val="false"/>
          <w:color w:val="37352F"/>
          <w:sz w:val="22"/>
          <w:szCs w:val="22"/>
        </w:rPr>
        <w:t xml:space="preserve">Scope changes greater than five percent of remaining budget require Change Control Board (CCB) approval and are billed as change orders. The CCB comprises the Aceli Program Director, the Aceli Product Owner, the Consortium Team Lead (Brian Jjemba), and the Solution Architect (Karthick Sivaraj). Changes less than five percent of remaining budget may be approved by the Product Owner and Team Lead jointly without formal CCB convening. Wave 2 countries are explicitly out of scope and are routed to the Wave 2 SOW rather than handled as change orders under this engagement.</w:t>
      </w:r>
    </w:p>
    <w:p>
      <w:pPr>
        <w:pStyle w:val="Heading2"/>
        <w:spacing w:after="120" w:before="240" w:line="312"/>
      </w:pPr>
      <w:r>
        <w:rPr>
          <w:rFonts w:ascii="Calibri" w:eastAsia="Microsoft YaHei"/>
          <w:b/>
          <w:bCs/>
          <w:color w:val="1A2330"/>
          <w:sz w:val="26"/>
          <w:szCs w:val="26"/>
        </w:rPr>
        <w:t xml:space="preserve">8.5 Acceptance &amp; Sign-off</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5000"/>
        <w:gridCol w:w="2200"/>
      </w:tblGrid>
      <w:tr>
        <w:trPr>
          <w:cantSplit/>
          <w:tblHeader/>
        </w:trPr>
        <w:tc>
          <w:tcPr>
            <w:shd w:fill="D4875A" w:val="clear"/>
            <w:tcMar>
              <w:top w:type="dxa" w:w="80"/>
              <w:left w:type="dxa" w:w="120"/>
              <w:bottom w:type="dxa" w:w="80"/>
              <w:right w:type="dxa" w:w="120"/>
            </w:tcMar>
          </w:tcPr>
          <w:p>
            <w:pPr>
              <w:spacing w:after="40" w:before="40" w:line="280"/>
              <w:jc w:val="left"/>
            </w:pPr>
            <w:r>
              <w:rPr>
                <w:rFonts w:ascii="Calibri" w:eastAsia="Microsoft YaHei"/>
                <w:b/>
                <w:bCs/>
                <w:color w:val="FFFFFF"/>
                <w:sz w:val="20"/>
                <w:szCs w:val="20"/>
              </w:rPr>
              <w:t xml:space="preserve">Role</w:t>
            </w:r>
          </w:p>
        </w:tc>
        <w:tc>
          <w:tcPr>
            <w:shd w:fill="D4875A" w:val="clear"/>
            <w:tcMar>
              <w:top w:type="dxa" w:w="80"/>
              <w:left w:type="dxa" w:w="120"/>
              <w:bottom w:type="dxa" w:w="80"/>
              <w:right w:type="dxa" w:w="120"/>
            </w:tcMar>
          </w:tcPr>
          <w:p>
            <w:pPr>
              <w:spacing w:after="40" w:before="40" w:line="280"/>
              <w:jc w:val="left"/>
            </w:pPr>
            <w:r>
              <w:rPr>
                <w:rFonts w:ascii="Calibri" w:eastAsia="Microsoft YaHei"/>
                <w:b/>
                <w:bCs/>
                <w:color w:val="FFFFFF"/>
                <w:sz w:val="20"/>
                <w:szCs w:val="20"/>
              </w:rPr>
              <w:t xml:space="preserve">Name</w:t>
            </w:r>
          </w:p>
        </w:tc>
        <w:tc>
          <w:tcPr>
            <w:shd w:fill="D4875A" w:val="clear"/>
            <w:tcMar>
              <w:top w:type="dxa" w:w="80"/>
              <w:left w:type="dxa" w:w="120"/>
              <w:bottom w:type="dxa" w:w="80"/>
              <w:right w:type="dxa" w:w="120"/>
            </w:tcMar>
          </w:tcPr>
          <w:p>
            <w:pPr>
              <w:spacing w:after="40" w:before="40" w:line="280"/>
              <w:jc w:val="left"/>
            </w:pPr>
            <w:r>
              <w:rPr>
                <w:rFonts w:ascii="Calibri" w:eastAsia="Microsoft YaHei"/>
                <w:b/>
                <w:bCs/>
                <w:color w:val="FFFFFF"/>
                <w:sz w:val="20"/>
                <w:szCs w:val="20"/>
              </w:rPr>
              <w:t xml:space="preserve">Date</w:t>
            </w:r>
          </w:p>
        </w:tc>
      </w:tr>
      <w:tr>
        <w:trPr>
          <w:cantSplit/>
          <w:tblHeader w:val="false"/>
        </w:trPr>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Prepared by</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Karthick Sivaraj — Solution Architect &amp; AI Systems Lead</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2026-06-19</w:t>
            </w:r>
          </w:p>
        </w:tc>
      </w:tr>
      <w:tr>
        <w:trPr>
          <w:cantSplit/>
          <w:tblHeader w:val="false"/>
        </w:trPr>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Reviewed by</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Brian Jjemba — Team Lead / Business Process Specialist</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____________</w:t>
            </w:r>
          </w:p>
        </w:tc>
      </w:tr>
      <w:tr>
        <w:trPr>
          <w:cantSplit/>
          <w:tblHeader w:val="false"/>
        </w:trPr>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Approved by (Client)</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________________________________________</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____________</w:t>
            </w:r>
          </w:p>
        </w:tc>
      </w:tr>
      <w:tr>
        <w:trPr>
          <w:cantSplit/>
          <w:tblHeader w:val="false"/>
        </w:trPr>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Approved by (Vendor)</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________________________________________</w:t>
            </w:r>
          </w:p>
        </w:tc>
        <w:tc>
          <w:tcPr>
            <w:shd w:fill="FFFFFF" w:val="clear"/>
            <w:tcMar>
              <w:top w:type="dxa" w:w="80"/>
              <w:left w:type="dxa" w:w="120"/>
              <w:bottom w:type="dxa" w:w="80"/>
              <w:right w:type="dxa" w:w="120"/>
            </w:tcMar>
          </w:tcPr>
          <w:p>
            <w:pPr>
              <w:spacing w:after="40" w:before="40" w:line="280"/>
              <w:jc w:val="left"/>
            </w:pPr>
            <w:r>
              <w:rPr>
                <w:rFonts w:ascii="Calibri" w:eastAsia="Microsoft YaHei"/>
                <w:b w:val="false"/>
                <w:bCs w:val="false"/>
                <w:color w:val="37352F"/>
                <w:sz w:val="20"/>
                <w:szCs w:val="20"/>
              </w:rPr>
              <w:t xml:space="preserve">____________</w:t>
            </w:r>
          </w:p>
        </w:tc>
      </w:tr>
    </w:tbl>
    <w:sectPr>
      <w:headerReference w:type="default" r:id="rId7"/>
      <w:footerReference w:type="default" r:id="rId8"/>
      <w:pgSz w:w="11906" w:h="16838" w:orient="portrait"/>
      <w:pgMar w:top="1417" w:right="1417" w:bottom="1417"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eastAsia="Microsoft YaHei"/>
        <w:color w:val="909090"/>
        <w:sz w:val="18"/>
        <w:szCs w:val="18"/>
      </w:rPr>
      <w:t xml:space="preserve">Page </w:t>
    </w:r>
    <w:r>
      <w:rPr>
        <w:rFonts w:ascii="Calibri" w:eastAsia="Microsoft YaHei"/>
        <w:color w:val="909090"/>
        <w:sz w:val="18"/>
        <w:szCs w:val="18"/>
      </w:rPr>
      <w:fldChar w:fldCharType="begin"/>
      <w:instrText xml:space="preserve">PAGE</w:instrText>
      <w:fldChar w:fldCharType="separate"/>
      <w:fldChar w:fldCharType="end"/>
    </w:r>
    <w:r>
      <w:rPr>
        <w:rFonts w:ascii="Calibri" w:eastAsia="Microsoft YaHei"/>
        <w:color w:val="909090"/>
        <w:sz w:val="18"/>
        <w:szCs w:val="18"/>
      </w:rPr>
      <w:t xml:space="preserve"> of </w:t>
    </w:r>
    <w:r>
      <w:rPr>
        <w:rFonts w:ascii="Calibri" w:eastAsia="Microsoft YaHei"/>
        <w:color w:val="90909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eastAsia="Microsoft YaHei"/>
        <w:color w:val="909090"/>
        <w:sz w:val="18"/>
        <w:szCs w:val="18"/>
      </w:rPr>
      <w:t xml:space="preserve">Aceli LAT — Budget, Timeline &amp; Costing (Rebid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37352F"/>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Aceli LAT Budget, Timeline &amp; Costing (Rebid v2.0)</dc:title>
  <dc:creator>Z.ai</dc:creator>
  <cp:lastModifiedBy>Un-named</cp:lastModifiedBy>
  <cp:revision>1</cp:revision>
  <dcterms:created xsi:type="dcterms:W3CDTF">2026-06-19T08:09:05.542Z</dcterms:created>
  <dcterms:modified xsi:type="dcterms:W3CDTF">2026-06-19T08:09:05.542Z</dcterms:modified>
</cp:coreProperties>
</file>

<file path=docProps/custom.xml><?xml version="1.0" encoding="utf-8"?>
<Properties xmlns="http://schemas.openxmlformats.org/officeDocument/2006/custom-properties" xmlns:vt="http://schemas.openxmlformats.org/officeDocument/2006/docPropsVTypes"/>
</file>