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Borders>
              <w:top w:val="none" w:color="FFFFFF" w:sz="0"/>
              <w:left w:val="none" w:color="FFFFFF" w:sz="0"/>
              <w:bottom w:val="none" w:color="FFFFFF" w:sz="0"/>
              <w:right w:val="none" w:color="FFFFFF" w:sz="0"/>
            </w:tcBorders>
            <w:shd w:val="clear"/>
          </w:tcPr>
          <w:p>
            <w:pPr>
              <w:spacing w:before="3775"/>
            </w:pPr>
          </w:p>
          <w:p>
            <w:pPr>
              <w:pBdr>
                <w:bottom w:val="single" w:sz="6" w:space="8"/>
              </w:pBdr>
              <w:spacing w:after="500"/>
              <w:ind w:left="1200" w:right="800"/>
            </w:pPr>
            <w:r>
              <w:rPr>
                <w:rFonts w:ascii="Calibri" w:eastAsia="SimHei"/>
                <w:spacing w:val="40"/>
                <w:sz w:val="18"/>
                <w:szCs w:val="18"/>
              </w:rPr>
              <w:t xml:space="preserve">A  C  E  L  I     A  F  R  I  C  A</w:t>
            </w:r>
          </w:p>
          <w:p>
            <w:pPr>
              <w:spacing w:after="100" w:line="782" w:lineRule="atLeast"/>
              <w:ind w:left="1200"/>
            </w:pPr>
            <w:r>
              <w:rPr>
                <w:rFonts w:ascii="Arial" w:eastAsia="SimHei"/>
                <w:b/>
                <w:bCs/>
                <w:color w:val="FFFFFF"/>
                <w:sz w:val="68"/>
                <w:szCs w:val="68"/>
              </w:rPr>
              <w:t xml:space="preserve">Master Budget,</w:t>
            </w:r>
          </w:p>
          <w:p>
            <w:pPr>
              <w:spacing w:after="100" w:line="782" w:lineRule="atLeast"/>
              <w:ind w:left="1200"/>
            </w:pPr>
            <w:r>
              <w:rPr>
                <w:rFonts w:ascii="Arial" w:eastAsia="SimHei"/>
                <w:b/>
                <w:bCs/>
                <w:color w:val="FFFFFF"/>
                <w:sz w:val="68"/>
                <w:szCs w:val="68"/>
              </w:rPr>
              <w:t xml:space="preserve">Timeline &amp;</w:t>
            </w:r>
          </w:p>
          <w:p>
            <w:pPr>
              <w:spacing w:after="300" w:line="782" w:lineRule="atLeast"/>
              <w:ind w:left="1200"/>
            </w:pPr>
            <w:r>
              <w:rPr>
                <w:rFonts w:ascii="Arial" w:eastAsia="SimHei"/>
                <w:b/>
                <w:bCs/>
                <w:color w:val="FFFFFF"/>
                <w:sz w:val="68"/>
                <w:szCs w:val="68"/>
              </w:rPr>
              <w:t xml:space="preserve">Costing</w:t>
            </w:r>
          </w:p>
          <w:p>
            <w:pPr>
              <w:spacing w:after="800"/>
              <w:ind w:left="1200"/>
            </w:pPr>
            <w:r>
              <w:rPr>
                <w:rFonts w:ascii="Arial" w:eastAsia="Microsoft YaHei"/>
                <w:color w:val="B0B8C0"/>
                <w:sz w:val="24"/>
                <w:szCs w:val="24"/>
              </w:rPr>
              <w:t xml:space="preserve">Aceli LAT — AI-Enabled Lender Activation Tool</w:t>
            </w:r>
          </w:p>
          <w:p>
            <w:pPr>
              <w:pBdr>
                <w:left w:val="single" w:sz="8" w:space="12"/>
              </w:pBdr>
              <w:spacing w:after="80"/>
              <w:ind w:left="1400"/>
            </w:pPr>
            <w:r>
              <w:rPr>
                <w:rFonts w:ascii="Arial" w:eastAsia="Microsoft YaHei"/>
                <w:color w:val="90989F"/>
                <w:sz w:val="24"/>
                <w:szCs w:val="24"/>
              </w:rPr>
              <w:t xml:space="preserve">Project: Aceli LAT Production Build  |  Sprint 0–Sprint 7</w:t>
            </w:r>
          </w:p>
          <w:p>
            <w:pPr>
              <w:pBdr>
                <w:left w:val="single" w:sz="8" w:space="12"/>
              </w:pBdr>
              <w:spacing w:after="80"/>
              <w:ind w:left="1400"/>
            </w:pPr>
            <w:r>
              <w:rPr>
                <w:rFonts w:ascii="Arial" w:eastAsia="Microsoft YaHei"/>
                <w:color w:val="90989F"/>
                <w:sz w:val="24"/>
                <w:szCs w:val="24"/>
              </w:rPr>
              <w:t xml:space="preserve">Version: 1.0  |  Issued 18 June 2026</w:t>
            </w:r>
          </w:p>
          <w:p>
            <w:pPr>
              <w:pBdr>
                <w:left w:val="single" w:sz="8" w:space="12"/>
              </w:pBdr>
              <w:spacing w:after="80"/>
              <w:ind w:left="1400"/>
            </w:pPr>
            <w:r>
              <w:rPr>
                <w:rFonts w:ascii="Arial" w:eastAsia="Microsoft YaHei"/>
                <w:color w:val="90989F"/>
                <w:sz w:val="24"/>
                <w:szCs w:val="24"/>
              </w:rPr>
              <w:t xml:space="preserve">Engagement Window: 12 January 2026 → 24 July 2026</w:t>
            </w:r>
          </w:p>
          <w:p>
            <w:pPr>
              <w:pBdr>
                <w:left w:val="single" w:sz="8" w:space="12"/>
              </w:pBdr>
              <w:spacing w:after="80"/>
              <w:ind w:left="1400"/>
            </w:pPr>
            <w:r>
              <w:rPr>
                <w:rFonts w:ascii="Arial" w:eastAsia="Microsoft YaHei"/>
                <w:color w:val="90989F"/>
                <w:sz w:val="24"/>
                <w:szCs w:val="24"/>
              </w:rPr>
              <w:t xml:space="preserve">Currency: USD  |  Classification: Confidential</w:t>
            </w:r>
          </w:p>
          <w:p>
            <w:pPr>
              <w:spacing w:before="3775"/>
            </w:pPr>
          </w:p>
          <w:p>
            <w:pPr>
              <w:pBdr>
                <w:top w:val="single" w:sz="2" w:space="8"/>
              </w:pBdr>
              <w:spacing w:before="200"/>
              <w:ind w:left="1200" w:right="800"/>
            </w:pPr>
            <w:r>
              <w:rPr>
                <w:rFonts w:ascii="Arial"/>
                <w:color w:val="687078"/>
                <w:sz w:val="16"/>
                <w:szCs w:val="16"/>
              </w:rPr>
              <w:t xml:space="preserve">Aceli Africa</w:t>
            </w:r>
            <w:r>
              <w:t xml:space="preserve">                                        </w:t>
            </w:r>
            <w:r>
              <w:rPr>
                <w:rFonts w:ascii="Arial"/>
                <w:color w:val="687078"/>
                <w:sz w:val="16"/>
                <w:szCs w:val="16"/>
              </w:rPr>
              <w:t xml:space="preserve">Master Budget  |  v1.0</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color w:val="18203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1.1 Engagement Overview</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1.2 Headline Financials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1.3 Strategic Cost Drivers</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2. Sprint-by-Sprint Budget Breakdown</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2.1 Budget Allocation by Sprint</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2.2 Sprint Cost Narrative</w:t>
            </w:r>
            <w:r>
              <w:tab/>
            </w:r>
            <w:r>
              <w:fldChar w:fldCharType="begin"/>
            </w:r>
            <w:r>
              <w:instrText xml:space="preserve"> PAGEREF _Toc100006 \h </w:instrText>
            </w:r>
            <w:r>
              <w:fldChar w:fldCharType="separate"/>
            </w:r>
            <w:r>
              <w:t>3</w:t>
            </w:r>
            <w:r>
              <w:fldChar w:fldCharType="end"/>
            </w:r>
          </w:hyperlink>
        </w:p>
        <w:p>
          <w:pPr>
            <w:pStyle w:val="12"/>
            <w:ind w:left="720"/>
            <w:tabs>
              <w:tab w:val="right" w:leader="dot" w:pos="9026"/>
            </w:tabs>
            <w:spacing w:before="120" w:after="60"/>
          </w:pPr>
          <w:hyperlink w:anchor="_Toc100007" w:history="1">
            <w:r>
              <w:rPr>
                <w:rStyle w:val="Hyperlink"/>
              </w:rPr>
              <w:t>2.2.1 Sprint 0 — Mobilization &amp; Foundations ($30,700)</w:t>
            </w:r>
            <w:r>
              <w:tab/>
            </w:r>
            <w:r>
              <w:fldChar w:fldCharType="begin"/>
            </w:r>
            <w:r>
              <w:instrText xml:space="preserve"> PAGEREF _Toc100007 \h </w:instrText>
            </w:r>
            <w:r>
              <w:fldChar w:fldCharType="separate"/>
            </w:r>
            <w:r>
              <w:t>3</w:t>
            </w:r>
            <w:r>
              <w:fldChar w:fldCharType="end"/>
            </w:r>
          </w:hyperlink>
        </w:p>
        <w:p>
          <w:pPr>
            <w:pStyle w:val="12"/>
            <w:ind w:left="720"/>
            <w:tabs>
              <w:tab w:val="right" w:leader="dot" w:pos="9026"/>
            </w:tabs>
            <w:spacing w:before="120" w:after="60"/>
          </w:pPr>
          <w:hyperlink w:anchor="_Toc100008" w:history="1">
            <w:r>
              <w:rPr>
                <w:rStyle w:val="Hyperlink"/>
              </w:rPr>
              <w:t>2.2.2 Sprint 1 — Discovery &amp; Requirements ($76,000)</w:t>
            </w:r>
            <w:r>
              <w:tab/>
            </w:r>
            <w:r>
              <w:fldChar w:fldCharType="begin"/>
            </w:r>
            <w:r>
              <w:instrText xml:space="preserve"> PAGEREF _Toc100008 \h </w:instrText>
            </w:r>
            <w:r>
              <w:fldChar w:fldCharType="separate"/>
            </w:r>
            <w:r>
              <w:t>3</w:t>
            </w:r>
            <w:r>
              <w:fldChar w:fldCharType="end"/>
            </w:r>
          </w:hyperlink>
        </w:p>
        <w:p>
          <w:pPr>
            <w:pStyle w:val="12"/>
            <w:ind w:left="720"/>
            <w:tabs>
              <w:tab w:val="right" w:leader="dot" w:pos="9026"/>
            </w:tabs>
            <w:spacing w:before="120" w:after="60"/>
          </w:pPr>
          <w:hyperlink w:anchor="_Toc100009" w:history="1">
            <w:r>
              <w:rPr>
                <w:rStyle w:val="Hyperlink"/>
              </w:rPr>
              <w:t>2.2.3 Sprint 2 — Architecture &amp; Design Sign-off ($84,700)</w:t>
            </w:r>
            <w:r>
              <w:tab/>
            </w:r>
            <w:r>
              <w:fldChar w:fldCharType="begin"/>
            </w:r>
            <w:r>
              <w:instrText xml:space="preserve"> PAGEREF _Toc100009 \h </w:instrText>
            </w:r>
            <w:r>
              <w:fldChar w:fldCharType="separate"/>
            </w:r>
            <w:r>
              <w:t>3</w:t>
            </w:r>
            <w:r>
              <w:fldChar w:fldCharType="end"/>
            </w:r>
          </w:hyperlink>
        </w:p>
        <w:p>
          <w:pPr>
            <w:pStyle w:val="12"/>
            <w:ind w:left="720"/>
            <w:tabs>
              <w:tab w:val="right" w:leader="dot" w:pos="9026"/>
            </w:tabs>
            <w:spacing w:before="120" w:after="60"/>
          </w:pPr>
          <w:hyperlink w:anchor="_Toc100010" w:history="1">
            <w:r>
              <w:rPr>
                <w:rStyle w:val="Hyperlink"/>
              </w:rPr>
              <w:t>2.2.4 Sprint 3 — Foundation Build &amp; DevSecOps ($65,900)</w:t>
            </w:r>
            <w:r>
              <w:tab/>
            </w:r>
            <w:r>
              <w:fldChar w:fldCharType="begin"/>
            </w:r>
            <w:r>
              <w:instrText xml:space="preserve"> PAGEREF _Toc100010 \h </w:instrText>
            </w:r>
            <w:r>
              <w:fldChar w:fldCharType="separate"/>
            </w:r>
            <w:r>
              <w:t>4</w:t>
            </w:r>
            <w:r>
              <w:fldChar w:fldCharType="end"/>
            </w:r>
          </w:hyperlink>
        </w:p>
        <w:p>
          <w:pPr>
            <w:pStyle w:val="12"/>
            <w:ind w:left="720"/>
            <w:tabs>
              <w:tab w:val="right" w:leader="dot" w:pos="9026"/>
            </w:tabs>
            <w:spacing w:before="120" w:after="60"/>
          </w:pPr>
          <w:hyperlink w:anchor="_Toc100011" w:history="1">
            <w:r>
              <w:rPr>
                <w:rStyle w:val="Hyperlink"/>
              </w:rPr>
              <w:t>2.2.5 Sprint 4 — Capture &amp; AI Draft Build ($98,300)</w:t>
            </w:r>
            <w:r>
              <w:tab/>
            </w:r>
            <w:r>
              <w:fldChar w:fldCharType="begin"/>
            </w:r>
            <w:r>
              <w:instrText xml:space="preserve"> PAGEREF _Toc100011 \h </w:instrText>
            </w:r>
            <w:r>
              <w:fldChar w:fldCharType="separate"/>
            </w:r>
            <w:r>
              <w:t>4</w:t>
            </w:r>
            <w:r>
              <w:fldChar w:fldCharType="end"/>
            </w:r>
          </w:hyperlink>
        </w:p>
        <w:p>
          <w:pPr>
            <w:pStyle w:val="12"/>
            <w:ind w:left="720"/>
            <w:tabs>
              <w:tab w:val="right" w:leader="dot" w:pos="9026"/>
            </w:tabs>
            <w:spacing w:before="120" w:after="60"/>
          </w:pPr>
          <w:hyperlink w:anchor="_Toc100012" w:history="1">
            <w:r>
              <w:rPr>
                <w:rStyle w:val="Hyperlink"/>
              </w:rPr>
              <w:t>2.2.6 Sprint 5 — Review, Sync &amp; Governance Build ($69,500)</w:t>
            </w:r>
            <w:r>
              <w:tab/>
            </w:r>
            <w:r>
              <w:fldChar w:fldCharType="begin"/>
            </w:r>
            <w:r>
              <w:instrText xml:space="preserve"> PAGEREF _Toc100012 \h </w:instrText>
            </w:r>
            <w:r>
              <w:fldChar w:fldCharType="separate"/>
            </w:r>
            <w:r>
              <w:t>4</w:t>
            </w:r>
            <w:r>
              <w:fldChar w:fldCharType="end"/>
            </w:r>
          </w:hyperlink>
        </w:p>
        <w:p>
          <w:pPr>
            <w:pStyle w:val="12"/>
            <w:ind w:left="720"/>
            <w:tabs>
              <w:tab w:val="right" w:leader="dot" w:pos="9026"/>
            </w:tabs>
            <w:spacing w:before="120" w:after="60"/>
          </w:pPr>
          <w:hyperlink w:anchor="_Toc100013" w:history="1">
            <w:r>
              <w:rPr>
                <w:rStyle w:val="Hyperlink"/>
              </w:rPr>
              <w:t>2.2.7 Sprint 6 — UAT, Pilot Prep &amp; Integration Test ($84,900)</w:t>
            </w:r>
            <w:r>
              <w:tab/>
            </w:r>
            <w:r>
              <w:fldChar w:fldCharType="begin"/>
            </w:r>
            <w:r>
              <w:instrText xml:space="preserve"> PAGEREF _Toc100013 \h </w:instrText>
            </w:r>
            <w:r>
              <w:fldChar w:fldCharType="separate"/>
            </w:r>
            <w:r>
              <w:t>4</w:t>
            </w:r>
            <w:r>
              <w:fldChar w:fldCharType="end"/>
            </w:r>
          </w:hyperlink>
        </w:p>
        <w:p>
          <w:pPr>
            <w:pStyle w:val="12"/>
            <w:ind w:left="720"/>
            <w:tabs>
              <w:tab w:val="right" w:leader="dot" w:pos="9026"/>
            </w:tabs>
            <w:spacing w:before="120" w:after="60"/>
          </w:pPr>
          <w:hyperlink w:anchor="_Toc100014" w:history="1">
            <w:r>
              <w:rPr>
                <w:rStyle w:val="Hyperlink"/>
              </w:rPr>
              <w:t>2.2.8 Sprint 7 — Rollout Wave 1 &amp; Hypercare ($79,600)</w:t>
            </w:r>
            <w:r>
              <w:tab/>
            </w:r>
            <w:r>
              <w:fldChar w:fldCharType="begin"/>
            </w:r>
            <w:r>
              <w:instrText xml:space="preserve"> PAGEREF _Toc100014 \h </w:instrText>
            </w:r>
            <w:r>
              <w:fldChar w:fldCharType="separate"/>
            </w:r>
            <w:r>
              <w:t>5</w:t>
            </w:r>
            <w:r>
              <w:fldChar w:fldCharType="end"/>
            </w:r>
          </w:hyperlink>
        </w:p>
        <w:p>
          <w:pPr>
            <w:pStyle w:val="9"/>
            <w:tabs>
              <w:tab w:val="right" w:leader="dot" w:pos="9026"/>
            </w:tabs>
            <w:spacing w:before="120" w:after="60"/>
          </w:pPr>
          <w:hyperlink w:anchor="_Toc100015" w:history="1">
            <w:r>
              <w:rPr>
                <w:rStyle w:val="Hyperlink"/>
              </w:rPr>
              <w:t>3. Resource Costing</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3.1 Role Rate Card</w:t>
            </w:r>
            <w:r>
              <w:tab/>
            </w:r>
            <w:r>
              <w:fldChar w:fldCharType="begin"/>
            </w:r>
            <w:r>
              <w:instrText xml:space="preserve"> PAGEREF _Toc100016 \h </w:instrText>
            </w:r>
            <w:r>
              <w:fldChar w:fldCharType="separate"/>
            </w:r>
            <w:r>
              <w:t>5</w:t>
            </w:r>
            <w:r>
              <w:fldChar w:fldCharType="end"/>
            </w:r>
          </w:hyperlink>
        </w:p>
        <w:p>
          <w:pPr>
            <w:pStyle w:val="11"/>
            <w:ind w:left="360"/>
            <w:tabs>
              <w:tab w:val="right" w:leader="dot" w:pos="9026"/>
            </w:tabs>
            <w:spacing w:before="120" w:after="60"/>
          </w:pPr>
          <w:hyperlink w:anchor="_Toc100017" w:history="1">
            <w:r>
              <w:rPr>
                <w:rStyle w:val="Hyperlink"/>
              </w:rPr>
              <w:t>3.2 Man-Day Distribution by Phase</w:t>
            </w:r>
            <w:r>
              <w:tab/>
            </w:r>
            <w:r>
              <w:fldChar w:fldCharType="begin"/>
            </w:r>
            <w:r>
              <w:instrText xml:space="preserve"> PAGEREF _Toc100017 \h </w:instrText>
            </w:r>
            <w:r>
              <w:fldChar w:fldCharType="separate"/>
            </w:r>
            <w:r>
              <w:t>5</w:t>
            </w:r>
            <w:r>
              <w:fldChar w:fldCharType="end"/>
            </w:r>
          </w:hyperlink>
        </w:p>
        <w:p>
          <w:pPr>
            <w:pStyle w:val="9"/>
            <w:tabs>
              <w:tab w:val="right" w:leader="dot" w:pos="9026"/>
            </w:tabs>
            <w:spacing w:before="120" w:after="60"/>
          </w:pPr>
          <w:hyperlink w:anchor="_Toc100018" w:history="1">
            <w:r>
              <w:rPr>
                <w:rStyle w:val="Hyperlink"/>
              </w:rPr>
              <w:t>4. Cost by Category</w:t>
            </w:r>
            <w:r>
              <w:tab/>
            </w:r>
            <w:r>
              <w:fldChar w:fldCharType="begin"/>
            </w:r>
            <w:r>
              <w:instrText xml:space="preserve"> PAGEREF _Toc100018 \h </w:instrText>
            </w:r>
            <w:r>
              <w:fldChar w:fldCharType="separate"/>
            </w:r>
            <w:r>
              <w:t>6</w:t>
            </w:r>
            <w:r>
              <w:fldChar w:fldCharType="end"/>
            </w:r>
          </w:hyperlink>
        </w:p>
        <w:p>
          <w:pPr>
            <w:pStyle w:val="11"/>
            <w:ind w:left="360"/>
            <w:tabs>
              <w:tab w:val="right" w:leader="dot" w:pos="9026"/>
            </w:tabs>
            <w:spacing w:before="120" w:after="60"/>
          </w:pPr>
          <w:hyperlink w:anchor="_Toc100019" w:history="1">
            <w:r>
              <w:rPr>
                <w:rStyle w:val="Hyperlink"/>
              </w:rPr>
              <w:t>4.1 Capex / Opex Split</w:t>
            </w:r>
            <w:r>
              <w:tab/>
            </w:r>
            <w:r>
              <w:fldChar w:fldCharType="begin"/>
            </w:r>
            <w:r>
              <w:instrText xml:space="preserve"> PAGEREF _Toc100019 \h </w:instrText>
            </w:r>
            <w:r>
              <w:fldChar w:fldCharType="separate"/>
            </w:r>
            <w:r>
              <w:t>6</w:t>
            </w:r>
            <w:r>
              <w:fldChar w:fldCharType="end"/>
            </w:r>
          </w:hyperlink>
        </w:p>
        <w:p>
          <w:pPr>
            <w:pStyle w:val="9"/>
            <w:tabs>
              <w:tab w:val="right" w:leader="dot" w:pos="9026"/>
            </w:tabs>
            <w:spacing w:before="120" w:after="60"/>
          </w:pPr>
          <w:hyperlink w:anchor="_Toc100020" w:history="1">
            <w:r>
              <w:rPr>
                <w:rStyle w:val="Hyperlink"/>
              </w:rPr>
              <w:t>5. Development Timeline</w:t>
            </w:r>
            <w:r>
              <w:tab/>
            </w:r>
            <w:r>
              <w:fldChar w:fldCharType="begin"/>
            </w:r>
            <w:r>
              <w:instrText xml:space="preserve"> PAGEREF _Toc100020 \h </w:instrText>
            </w:r>
            <w:r>
              <w:fldChar w:fldCharType="separate"/>
            </w:r>
            <w:r>
              <w:t>6</w:t>
            </w:r>
            <w:r>
              <w:fldChar w:fldCharType="end"/>
            </w:r>
          </w:hyperlink>
        </w:p>
        <w:p>
          <w:pPr>
            <w:pStyle w:val="11"/>
            <w:ind w:left="360"/>
            <w:tabs>
              <w:tab w:val="right" w:leader="dot" w:pos="9026"/>
            </w:tabs>
            <w:spacing w:before="120" w:after="60"/>
          </w:pPr>
          <w:hyperlink w:anchor="_Toc100021" w:history="1">
            <w:r>
              <w:rPr>
                <w:rStyle w:val="Hyperlink"/>
              </w:rPr>
              <w:t>5.1 Sprint Calendar Overview</w:t>
            </w:r>
            <w:r>
              <w:tab/>
            </w:r>
            <w:r>
              <w:fldChar w:fldCharType="begin"/>
            </w:r>
            <w:r>
              <w:instrText xml:space="preserve"> PAGEREF _Toc100021 \h </w:instrText>
            </w:r>
            <w:r>
              <w:fldChar w:fldCharType="separate"/>
            </w:r>
            <w:r>
              <w:t>6</w:t>
            </w:r>
            <w:r>
              <w:fldChar w:fldCharType="end"/>
            </w:r>
          </w:hyperlink>
        </w:p>
        <w:p>
          <w:pPr>
            <w:pStyle w:val="11"/>
            <w:ind w:left="360"/>
            <w:tabs>
              <w:tab w:val="right" w:leader="dot" w:pos="9026"/>
            </w:tabs>
            <w:spacing w:before="120" w:after="60"/>
          </w:pPr>
          <w:hyperlink w:anchor="_Toc100022" w:history="1">
            <w:r>
              <w:rPr>
                <w:rStyle w:val="Hyperlink"/>
              </w:rPr>
              <w:t>5.2 Phase Structure</w:t>
            </w:r>
            <w:r>
              <w:tab/>
            </w:r>
            <w:r>
              <w:fldChar w:fldCharType="begin"/>
            </w:r>
            <w:r>
              <w:instrText xml:space="preserve"> PAGEREF _Toc100022 \h </w:instrText>
            </w:r>
            <w:r>
              <w:fldChar w:fldCharType="separate"/>
            </w:r>
            <w:r>
              <w:t>6</w:t>
            </w:r>
            <w:r>
              <w:fldChar w:fldCharType="end"/>
            </w:r>
          </w:hyperlink>
        </w:p>
        <w:p>
          <w:pPr>
            <w:pStyle w:val="9"/>
            <w:tabs>
              <w:tab w:val="right" w:leader="dot" w:pos="9026"/>
            </w:tabs>
            <w:spacing w:before="120" w:after="60"/>
          </w:pPr>
          <w:hyperlink w:anchor="_Toc100023" w:history="1">
            <w:r>
              <w:rPr>
                <w:rStyle w:val="Hyperlink"/>
              </w:rPr>
              <w:t>6. Payment Milestones</w:t>
            </w:r>
            <w:r>
              <w:tab/>
            </w:r>
            <w:r>
              <w:fldChar w:fldCharType="begin"/>
            </w:r>
            <w:r>
              <w:instrText xml:space="preserve"> PAGEREF _Toc100023 \h </w:instrText>
            </w:r>
            <w:r>
              <w:fldChar w:fldCharType="separate"/>
            </w:r>
            <w:r>
              <w:t>7</w:t>
            </w:r>
            <w:r>
              <w:fldChar w:fldCharType="end"/>
            </w:r>
          </w:hyperlink>
        </w:p>
        <w:p>
          <w:pPr>
            <w:pStyle w:val="11"/>
            <w:ind w:left="360"/>
            <w:tabs>
              <w:tab w:val="right" w:leader="dot" w:pos="9026"/>
            </w:tabs>
            <w:spacing w:before="120" w:after="60"/>
          </w:pPr>
          <w:hyperlink w:anchor="_Toc100024" w:history="1">
            <w:r>
              <w:rPr>
                <w:rStyle w:val="Hyperlink"/>
              </w:rPr>
              <w:t>6.1 Billing Schedule</w:t>
            </w:r>
            <w:r>
              <w:tab/>
            </w:r>
            <w:r>
              <w:fldChar w:fldCharType="begin"/>
            </w:r>
            <w:r>
              <w:instrText xml:space="preserve"> PAGEREF _Toc100024 \h </w:instrText>
            </w:r>
            <w:r>
              <w:fldChar w:fldCharType="separate"/>
            </w:r>
            <w:r>
              <w:t>7</w:t>
            </w:r>
            <w:r>
              <w:fldChar w:fldCharType="end"/>
            </w:r>
          </w:hyperlink>
        </w:p>
        <w:p>
          <w:pPr>
            <w:pStyle w:val="11"/>
            <w:ind w:left="360"/>
            <w:tabs>
              <w:tab w:val="right" w:leader="dot" w:pos="9026"/>
            </w:tabs>
            <w:spacing w:before="120" w:after="60"/>
          </w:pPr>
          <w:hyperlink w:anchor="_Toc100025" w:history="1">
            <w:r>
              <w:rPr>
                <w:rStyle w:val="Hyperlink"/>
              </w:rPr>
              <w:t>6.2 Payment Terms</w:t>
            </w:r>
            <w:r>
              <w:tab/>
            </w:r>
            <w:r>
              <w:fldChar w:fldCharType="begin"/>
            </w:r>
            <w:r>
              <w:instrText xml:space="preserve"> PAGEREF _Toc100025 \h </w:instrText>
            </w:r>
            <w:r>
              <w:fldChar w:fldCharType="separate"/>
            </w:r>
            <w:r>
              <w:t>7</w:t>
            </w:r>
            <w:r>
              <w:fldChar w:fldCharType="end"/>
            </w:r>
          </w:hyperlink>
        </w:p>
        <w:p>
          <w:pPr>
            <w:pStyle w:val="9"/>
            <w:tabs>
              <w:tab w:val="right" w:leader="dot" w:pos="9026"/>
            </w:tabs>
            <w:spacing w:before="120" w:after="60"/>
          </w:pPr>
          <w:hyperlink w:anchor="_Toc100026" w:history="1">
            <w:r>
              <w:rPr>
                <w:rStyle w:val="Hyperlink"/>
              </w:rPr>
              <w:t>7. Risk &amp; Contingency</w:t>
            </w:r>
            <w:r>
              <w:tab/>
            </w:r>
            <w:r>
              <w:fldChar w:fldCharType="begin"/>
            </w:r>
            <w:r>
              <w:instrText xml:space="preserve"> PAGEREF _Toc100026 \h </w:instrText>
            </w:r>
            <w:r>
              <w:fldChar w:fldCharType="separate"/>
            </w:r>
            <w:r>
              <w:t>7</w:t>
            </w:r>
            <w:r>
              <w:fldChar w:fldCharType="end"/>
            </w:r>
          </w:hyperlink>
        </w:p>
        <w:p>
          <w:pPr>
            <w:pStyle w:val="11"/>
            <w:ind w:left="360"/>
            <w:tabs>
              <w:tab w:val="right" w:leader="dot" w:pos="9026"/>
            </w:tabs>
            <w:spacing w:before="120" w:after="60"/>
          </w:pPr>
          <w:hyperlink w:anchor="_Toc100027" w:history="1">
            <w:r>
              <w:rPr>
                <w:rStyle w:val="Hyperlink"/>
              </w:rPr>
              <w:t>7.1 Risk Register</w:t>
            </w:r>
            <w:r>
              <w:tab/>
            </w:r>
            <w:r>
              <w:fldChar w:fldCharType="begin"/>
            </w:r>
            <w:r>
              <w:instrText xml:space="preserve"> PAGEREF _Toc100027 \h </w:instrText>
            </w:r>
            <w:r>
              <w:fldChar w:fldCharType="separate"/>
            </w:r>
            <w:r>
              <w:t>7</w:t>
            </w:r>
            <w:r>
              <w:fldChar w:fldCharType="end"/>
            </w:r>
          </w:hyperlink>
        </w:p>
        <w:p>
          <w:pPr>
            <w:pStyle w:val="11"/>
            <w:ind w:left="360"/>
            <w:tabs>
              <w:tab w:val="right" w:leader="dot" w:pos="9026"/>
            </w:tabs>
            <w:spacing w:before="120" w:after="60"/>
          </w:pPr>
          <w:hyperlink w:anchor="_Toc100028" w:history="1">
            <w:r>
              <w:rPr>
                <w:rStyle w:val="Hyperlink"/>
              </w:rPr>
              <w:t>7.2 Scenario Analysis</w:t>
            </w:r>
            <w:r>
              <w:tab/>
            </w:r>
            <w:r>
              <w:fldChar w:fldCharType="begin"/>
            </w:r>
            <w:r>
              <w:instrText xml:space="preserve"> PAGEREF _Toc100028 \h </w:instrText>
            </w:r>
            <w:r>
              <w:fldChar w:fldCharType="separate"/>
            </w:r>
            <w:r>
              <w:t>8</w:t>
            </w:r>
            <w:r>
              <w:fldChar w:fldCharType="end"/>
            </w:r>
          </w:hyperlink>
        </w:p>
        <w:p>
          <w:pPr>
            <w:pStyle w:val="9"/>
            <w:tabs>
              <w:tab w:val="right" w:leader="dot" w:pos="9026"/>
            </w:tabs>
            <w:spacing w:before="120" w:after="60"/>
          </w:pPr>
          <w:hyperlink w:anchor="_Toc100029" w:history="1">
            <w:r>
              <w:rPr>
                <w:rStyle w:val="Hyperlink"/>
              </w:rPr>
              <w:t>8. Assumptions &amp; Exclusions</w:t>
            </w:r>
            <w:r>
              <w:tab/>
            </w:r>
            <w:r>
              <w:fldChar w:fldCharType="begin"/>
            </w:r>
            <w:r>
              <w:instrText xml:space="preserve"> PAGEREF _Toc100029 \h </w:instrText>
            </w:r>
            <w:r>
              <w:fldChar w:fldCharType="separate"/>
            </w:r>
            <w:r>
              <w:t>8</w:t>
            </w:r>
            <w:r>
              <w:fldChar w:fldCharType="end"/>
            </w:r>
          </w:hyperlink>
        </w:p>
        <w:p>
          <w:pPr>
            <w:pStyle w:val="11"/>
            <w:ind w:left="360"/>
            <w:tabs>
              <w:tab w:val="right" w:leader="dot" w:pos="9026"/>
            </w:tabs>
            <w:spacing w:before="120" w:after="60"/>
          </w:pPr>
          <w:hyperlink w:anchor="_Toc100030" w:history="1">
            <w:r>
              <w:rPr>
                <w:rStyle w:val="Hyperlink"/>
              </w:rPr>
              <w:t>8.1 Pricing Basis</w:t>
            </w:r>
            <w:r>
              <w:tab/>
            </w:r>
            <w:r>
              <w:fldChar w:fldCharType="begin"/>
            </w:r>
            <w:r>
              <w:instrText xml:space="preserve"> PAGEREF _Toc100030 \h </w:instrText>
            </w:r>
            <w:r>
              <w:fldChar w:fldCharType="separate"/>
            </w:r>
            <w:r>
              <w:t>8</w:t>
            </w:r>
            <w:r>
              <w:fldChar w:fldCharType="end"/>
            </w:r>
          </w:hyperlink>
        </w:p>
        <w:p>
          <w:pPr>
            <w:pStyle w:val="11"/>
            <w:ind w:left="360"/>
            <w:tabs>
              <w:tab w:val="right" w:leader="dot" w:pos="9026"/>
            </w:tabs>
            <w:spacing w:before="120" w:after="60"/>
          </w:pPr>
          <w:hyperlink w:anchor="_Toc100031" w:history="1">
            <w:r>
              <w:rPr>
                <w:rStyle w:val="Hyperlink"/>
              </w:rPr>
              <w:t>8.2 Inclusions</w:t>
            </w:r>
            <w:r>
              <w:tab/>
            </w:r>
            <w:r>
              <w:fldChar w:fldCharType="begin"/>
            </w:r>
            <w:r>
              <w:instrText xml:space="preserve"> PAGEREF _Toc100031 \h </w:instrText>
            </w:r>
            <w:r>
              <w:fldChar w:fldCharType="separate"/>
            </w:r>
            <w:r>
              <w:t>8</w:t>
            </w:r>
            <w:r>
              <w:fldChar w:fldCharType="end"/>
            </w:r>
          </w:hyperlink>
        </w:p>
        <w:p>
          <w:pPr>
            <w:pStyle w:val="11"/>
            <w:ind w:left="360"/>
            <w:tabs>
              <w:tab w:val="right" w:leader="dot" w:pos="9026"/>
            </w:tabs>
            <w:spacing w:before="120" w:after="60"/>
          </w:pPr>
          <w:hyperlink w:anchor="_Toc100032" w:history="1">
            <w:r>
              <w:rPr>
                <w:rStyle w:val="Hyperlink"/>
              </w:rPr>
              <w:t>8.3 Exclusions</w:t>
            </w:r>
            <w:r>
              <w:tab/>
            </w:r>
            <w:r>
              <w:fldChar w:fldCharType="begin"/>
            </w:r>
            <w:r>
              <w:instrText xml:space="preserve"> PAGEREF _Toc100032 \h </w:instrText>
            </w:r>
            <w:r>
              <w:fldChar w:fldCharType="separate"/>
            </w:r>
            <w:r>
              <w:t>9</w:t>
            </w:r>
            <w:r>
              <w:fldChar w:fldCharType="end"/>
            </w:r>
          </w:hyperlink>
        </w:p>
        <w:p>
          <w:pPr>
            <w:pStyle w:val="11"/>
            <w:ind w:left="360"/>
            <w:tabs>
              <w:tab w:val="right" w:leader="dot" w:pos="9026"/>
            </w:tabs>
            <w:spacing w:before="120" w:after="60"/>
          </w:pPr>
          <w:hyperlink w:anchor="_Toc100033" w:history="1">
            <w:r>
              <w:rPr>
                <w:rStyle w:val="Hyperlink"/>
              </w:rPr>
              <w:t>8.4 Change Control</w:t>
            </w:r>
            <w:r>
              <w:tab/>
            </w:r>
            <w:r>
              <w:fldChar w:fldCharType="begin"/>
            </w:r>
            <w:r>
              <w:instrText xml:space="preserve"> PAGEREF _Toc100033 \h </w:instrText>
            </w:r>
            <w:r>
              <w:fldChar w:fldCharType="separate"/>
            </w:r>
            <w:r>
              <w:t>9</w:t>
            </w:r>
            <w:r>
              <w:fldChar w:fldCharType="end"/>
            </w:r>
          </w:hyperlink>
        </w:p>
        <w:p>
          <w:pPr>
            <w:pStyle w:val="11"/>
            <w:ind w:left="360"/>
            <w:tabs>
              <w:tab w:val="right" w:leader="dot" w:pos="9026"/>
            </w:tabs>
            <w:spacing w:before="120" w:after="60"/>
          </w:pPr>
          <w:hyperlink w:anchor="_Toc100034" w:history="1">
            <w:r>
              <w:rPr>
                <w:rStyle w:val="Hyperlink"/>
              </w:rPr>
              <w:t>8.5 Acceptance &amp; Sign-off</w:t>
            </w:r>
            <w:r>
              <w:tab/>
            </w:r>
            <w:r>
              <w:fldChar w:fldCharType="begin"/>
            </w:r>
            <w:r>
              <w:instrText xml:space="preserve"> PAGEREF _Toc100034 \h </w:instrText>
            </w:r>
            <w:r>
              <w:fldChar w:fldCharType="separate"/>
            </w:r>
            <w:r>
              <w:t>9</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182030"/>
          <w:sz w:val="32"/>
          <w:szCs w:val="32"/>
        </w:rPr>
        <w:t xml:space="preserve">1. Executive Summary</w:t>
      </w:r>
      <w:bookmarkEnd w:id="100000"/>
    </w:p>
    <w:p>
      <w:pPr>
        <w:pStyle w:val="Heading2"/>
        <w:spacing w:after="100" w:before="280" w:line="312"/>
      </w:pPr>
      <w:bookmarkStart w:id="100001" w:name="_Toc100001"/>
      <w:r>
        <w:rPr>
          <w:rFonts w:ascii="Times New Roman" w:eastAsia="SimHei"/>
          <w:b/>
          <w:bCs/>
          <w:color w:val="182030"/>
          <w:sz w:val="30"/>
          <w:szCs w:val="30"/>
        </w:rPr>
        <w:t xml:space="preserve">1.1 Engagement Overview</w:t>
      </w:r>
      <w:bookmarkEnd w:id="100001"/>
    </w:p>
    <w:p>
      <w:pPr>
        <w:spacing w:after="60" w:line="312"/>
        <w:ind w:firstLine="480"/>
        <w:jc w:val="both"/>
      </w:pPr>
      <w:r>
        <w:rPr>
          <w:rFonts w:ascii="Times New Roman" w:eastAsia="SimSun"/>
          <w:color w:val="182030"/>
          <w:sz w:val="24"/>
          <w:szCs w:val="24"/>
        </w:rPr>
        <w:t xml:space="preserve">This document presents the consolidated budget, development timeline, and costing breakdown for the Aceli Lender Activation Tool (LAT) — an AI-enabled lender relationship intelligence platform deployed across Aceli Africa's smallholder lending programme. The engagement is structured as eight sequential sprints, Sprint 0 through Sprint 7, spanning thirty-two calendar weeks from 12 January 2026 through 24 July 2026. The total engagement value is priced at six hundred thirty-six thousand seven hundred sixty-eight US dollars, comprising a base budget of five hundred eighty-nine thousand six hundred dollars and a risk reserve of forty-seven thousand one hundred sixty-eight dollars held against seven enumerated risk items.</w:t>
      </w:r>
    </w:p>
    <w:p>
      <w:pPr>
        <w:spacing w:after="60" w:line="312"/>
        <w:ind w:firstLine="480"/>
        <w:jc w:val="both"/>
      </w:pPr>
      <w:r>
        <w:rPr>
          <w:rFonts w:ascii="Times New Roman" w:eastAsia="SimSun"/>
          <w:color w:val="182030"/>
          <w:sz w:val="24"/>
          <w:szCs w:val="24"/>
        </w:rPr>
        <w:t xml:space="preserve">The engagement model combines fixed-scope milestone billing with time-and-materials change control. Eight milestone payments, M1 through M8, are tied to sprint acceptance gates, with the largest single milestone representing twenty percent of total value and triggered at the Architecture and Design Sign-off in Sprint 2. This structure provides Aceli Africa with predictable cash-flow commitments while preserving Z.ai Delivery's ability to absorb reasonable scope variability through the risk reserve mechanism. All amounts in this document are expressed in United States dollars unless otherwise noted, and all rates are fully-loaded day rates inclusive of salary, benefits, paid time off, and overhead allocation.</w:t>
      </w:r>
    </w:p>
    <w:p>
      <w:pPr>
        <w:pStyle w:val="Heading2"/>
        <w:spacing w:after="100" w:before="280" w:line="312"/>
      </w:pPr>
      <w:bookmarkStart w:id="100002" w:name="_Toc100002"/>
      <w:r>
        <w:rPr>
          <w:rFonts w:ascii="Times New Roman" w:eastAsia="SimHei"/>
          <w:b/>
          <w:bCs/>
          <w:color w:val="182030"/>
          <w:sz w:val="30"/>
          <w:szCs w:val="30"/>
        </w:rPr>
        <w:t xml:space="preserve">1.2 Headline Financials</w:t>
      </w:r>
      <w:bookmarkEnd w:id="100002"/>
    </w:p>
    <w:p>
      <w:pPr>
        <w:spacing w:after="60" w:line="312"/>
        <w:ind w:firstLine="480"/>
        <w:jc w:val="both"/>
      </w:pPr>
      <w:r>
        <w:rPr>
          <w:rFonts w:ascii="Times New Roman" w:eastAsia="SimSun"/>
          <w:color w:val="182030"/>
          <w:sz w:val="24"/>
          <w:szCs w:val="24"/>
        </w:rPr>
        <w:t xml:space="preserve">The table below summarises the headline financial metrics for the engagement. Personnel costs dominate the budget at approximately eighty-seven percent of the base, reflecting the AI-augmented engineering pod delivery model. Direct costs — comprising cloud infrastructure, third-party APIs, development tooling, and field travel — account for the remaining thirteen percent. The eight percent risk reserve is held against seven identified risk items and is drawn only against approved risk realisations with sponsor sign-off, ensuring that contingency funds are deployed deliberately rather than absorbed silently into base execution.</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tblGrid>
      <w:tr>
        <w:trPr>
          <w:tblHeader/>
        </w:trPr>
        <w:tc>
          <w:tcPr>
            <w:tcW w:type="dxa" w:w="3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Metric</w:t>
            </w:r>
          </w:p>
        </w:tc>
        <w:tc>
          <w:tcPr>
            <w:tcW w:type="dxa" w:w="22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Value (USD)</w:t>
            </w:r>
          </w:p>
        </w:tc>
        <w:tc>
          <w:tcPr>
            <w:tcW w:type="dxa" w:w="4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Notes</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Base Budget</w:t>
            </w:r>
          </w:p>
        </w:tc>
        <w:tc>
          <w:tcPr>
            <w:tcW w:type="dxa" w:w="2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$589,600</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Sum of personnel + direct costs across 8 sprints</w:t>
            </w:r>
          </w:p>
        </w:tc>
      </w:tr>
      <w:tr>
        <w:trPr>
          <w:cantSplit/>
        </w:trPr>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Risk Reserve (8%)</w:t>
            </w:r>
          </w:p>
        </w:tc>
        <w:tc>
          <w:tcPr>
            <w:tcW w:type="dxa" w:w="2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$47,168</w:t>
            </w:r>
          </w:p>
        </w:tc>
        <w:tc>
          <w:tcPr>
            <w:tcW w:type="dxa" w:w="4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Contingency against R1–R7; sponsor approval to draw</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Total Engagement Value</w:t>
            </w:r>
          </w:p>
        </w:tc>
        <w:tc>
          <w:tcPr>
            <w:tcW w:type="dxa" w:w="2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$636,768</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Base + Reserve; excludes Wave 2 countries</w:t>
            </w:r>
          </w:p>
        </w:tc>
      </w:tr>
      <w:tr>
        <w:trPr>
          <w:cantSplit/>
        </w:trPr>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Average Cost per Sprint</w:t>
            </w:r>
          </w:p>
        </w:tc>
        <w:tc>
          <w:tcPr>
            <w:tcW w:type="dxa" w:w="2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$73,700</w:t>
            </w:r>
          </w:p>
        </w:tc>
        <w:tc>
          <w:tcPr>
            <w:tcW w:type="dxa" w:w="4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Base budget divided by 8 sprints</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Average Cost per Week</w:t>
            </w:r>
          </w:p>
        </w:tc>
        <w:tc>
          <w:tcPr>
            <w:tcW w:type="dxa" w:w="2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$18,425</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Base budget divided by 32 calendar weeks</w:t>
            </w:r>
          </w:p>
        </w:tc>
      </w:tr>
      <w:tr>
        <w:trPr>
          <w:cantSplit/>
        </w:trPr>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Personnel Share of Base</w:t>
            </w:r>
          </w:p>
        </w:tc>
        <w:tc>
          <w:tcPr>
            <w:tcW w:type="dxa" w:w="2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87.0%</w:t>
            </w:r>
          </w:p>
        </w:tc>
        <w:tc>
          <w:tcPr>
            <w:tcW w:type="dxa" w:w="4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Engineering, design/BA, PM/governance, QA/training</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Direct Cost Share of Base</w:t>
            </w:r>
          </w:p>
        </w:tc>
        <w:tc>
          <w:tcPr>
            <w:tcW w:type="dxa" w:w="2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13.0%</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Cloud, APIs, tools, field travel</w:t>
            </w:r>
          </w:p>
        </w:tc>
      </w:tr>
    </w:tbl>
    <w:p>
      <w:pPr>
        <w:pStyle w:val="Heading2"/>
        <w:spacing w:after="100" w:before="280" w:line="312"/>
      </w:pPr>
      <w:bookmarkStart w:id="100003" w:name="_Toc100003"/>
      <w:r>
        <w:rPr>
          <w:rFonts w:ascii="Times New Roman" w:eastAsia="SimHei"/>
          <w:b/>
          <w:bCs/>
          <w:color w:val="182030"/>
          <w:sz w:val="30"/>
          <w:szCs w:val="30"/>
        </w:rPr>
        <w:t xml:space="preserve">1.3 Strategic Cost Drivers</w:t>
      </w:r>
      <w:bookmarkEnd w:id="100003"/>
    </w:p>
    <w:p>
      <w:pPr>
        <w:spacing w:after="60" w:line="312"/>
        <w:ind w:firstLine="480"/>
        <w:jc w:val="both"/>
      </w:pPr>
      <w:r>
        <w:rPr>
          <w:rFonts w:ascii="Times New Roman" w:eastAsia="SimSun"/>
          <w:color w:val="182030"/>
          <w:sz w:val="24"/>
          <w:szCs w:val="24"/>
        </w:rPr>
        <w:t xml:space="preserve">Three factors shape the cost profile of the Aceli LAT engagement. First, the AI-augmented engineering pod model concentrates cost in senior engineering talent — full-stack, backend, and AI/LLM engineers represent the single largest cost block at approximately fifty-two percent of base budget. This reflects the technical complexity of building a production-grade platform that combines offline-capable field capture, Claude-powered extraction, Salesforce bidirectional sync, and a human-in-the-loop review workflow with full audit trail. Second, the engagement includes substantive field operations cost — stakeholder workshops, country visits for UAT and pilot rollout, and in-country training delivery — that is essential for adoption success but represents only two percent of base budget due to careful scoping of in-country time. Third, the third-party API and licensing stack (OpenAI/Anthropic for AI drafting, Salesforce Enterprise API, Twilio for notifications) is sized for production traffic from Sprint 4 onwards and represents approximately four percent of base budget.</w:t>
      </w:r>
    </w:p>
    <w:p>
      <w:pPr>
        <w:spacing w:after="60" w:line="312"/>
        <w:ind w:firstLine="480"/>
        <w:jc w:val="both"/>
      </w:pPr>
      <w:r>
        <w:rPr>
          <w:rFonts w:ascii="Times New Roman" w:eastAsia="SimSun"/>
          <w:color w:val="182030"/>
          <w:sz w:val="24"/>
          <w:szCs w:val="24"/>
        </w:rPr>
        <w:t xml:space="preserve">Risk concentration is highest in three areas: AI transcription accuracy in noisy field conditions (R1), Salesforce API rate limits during peak synchronisation windows (R2), and country regulatory changes requiring data residency adjustments (R3). These three risks collectively account for over fifty percent of the allocated risk reserve and are the subject of explicit mitigation activities scheduled within the base sprint plan rather than treated as reserve-only fallbacks. The remaining four risk items — stakeholder availability, LLM provider pricing volatility, field connectivity, and scope expansion — are addressed through process controls (pre-booked UAT slots, multi-provider abstraction, offline-first architecture, and a strict change-control board) that are already embedded in the base execution plan.</w:t>
      </w:r>
    </w:p>
    <w:p>
      <w:pPr>
        <w:pStyle w:val="Heading1"/>
        <w:spacing w:after="120" w:before="360" w:line="312"/>
      </w:pPr>
      <w:bookmarkStart w:id="100004" w:name="_Toc100004"/>
      <w:r>
        <w:rPr>
          <w:rFonts w:ascii="Times New Roman" w:eastAsia="SimHei"/>
          <w:b/>
          <w:bCs/>
          <w:color w:val="182030"/>
          <w:sz w:val="32"/>
          <w:szCs w:val="32"/>
        </w:rPr>
        <w:t xml:space="preserve">2. Sprint-by-Sprint Budget Breakdown</w:t>
      </w:r>
      <w:bookmarkEnd w:id="100004"/>
    </w:p>
    <w:p>
      <w:pPr>
        <w:pStyle w:val="Heading2"/>
        <w:spacing w:after="100" w:before="280" w:line="312"/>
      </w:pPr>
      <w:bookmarkStart w:id="100005" w:name="_Toc100005"/>
      <w:r>
        <w:rPr>
          <w:rFonts w:ascii="Times New Roman" w:eastAsia="SimHei"/>
          <w:b/>
          <w:bCs/>
          <w:color w:val="182030"/>
          <w:sz w:val="30"/>
          <w:szCs w:val="30"/>
        </w:rPr>
        <w:t xml:space="preserve">2.1 Budget Allocation by Sprint</w:t>
      </w:r>
      <w:bookmarkEnd w:id="100005"/>
    </w:p>
    <w:p>
      <w:pPr>
        <w:spacing w:after="60" w:line="312"/>
        <w:ind w:firstLine="480"/>
        <w:jc w:val="both"/>
      </w:pPr>
      <w:r>
        <w:rPr>
          <w:rFonts w:ascii="Times New Roman" w:eastAsia="SimSun"/>
          <w:color w:val="182030"/>
          <w:sz w:val="24"/>
          <w:szCs w:val="24"/>
        </w:rPr>
        <w:t xml:space="preserve">The eight sprints are sized according to the complexity and deliverable density of each phase. Sprint 0 (Mobilization) and Sprint 3 (Foundation Build) carry the smallest budgets because they are short, focused sprints with limited third-party cost exposure. Sprint 2 (Architecture &amp; Design Sign-off) and Sprint 4 (Capture &amp; AI Draft Build) carry the largest budgets because they involve the highest concentration of senior engineering and architecture effort alongside substantive third-party API integration work. Sprint 7 (Rollout Wave 1 &amp; Hypercare) carries elevated travel cost reflecting the in-country pilot rollout and training delivery activities.</w:t>
      </w:r>
    </w:p>
    <w:p>
      <w:pPr>
        <w:spacing w:after="60" w:line="312"/>
        <w:ind w:firstLine="480"/>
        <w:jc w:val="both"/>
      </w:pPr>
      <w:r>
        <w:rPr>
          <w:rFonts w:ascii="Times New Roman" w:eastAsia="SimSun"/>
          <w:color w:val="182030"/>
          <w:sz w:val="24"/>
          <w:szCs w:val="24"/>
        </w:rPr>
        <w:t xml:space="preserve">Each sprint's budget is allocated across six cost dimensions: personnel, cloud infrastructure, tooling, third-party APIs and licenses, and field travel. The personnel dimension is by far the dominant cost in every sprint, ranging from eighty-three percent of sprint total in Sprint 7 (where travel costs rise sharply) to ninety-six percent in Sprint 3 (a pure engineering sprint with no field operations). Direct cost concentration is highest in Sprint 4 (third-party AI API spend), Sprint 7 (field travel), and Sprint 2 (Salesforce sandbox and integration testing tooling).</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gridCol w:w="100"/>
        <w:gridCol w:w="100"/>
      </w:tblGrid>
      <w:tr>
        <w:trPr>
          <w:tblHeader/>
        </w:trPr>
        <w:tc>
          <w:tcPr>
            <w:tcW w:type="dxa" w:w="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Sprint</w:t>
            </w:r>
          </w:p>
        </w:tc>
        <w:tc>
          <w:tcPr>
            <w:tcW w:type="dxa" w:w="2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Name</w:t>
            </w:r>
          </w:p>
        </w:tc>
        <w:tc>
          <w:tcPr>
            <w:tcW w:type="dxa" w:w="7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Weeks</w:t>
            </w:r>
          </w:p>
        </w:tc>
        <w:tc>
          <w:tcPr>
            <w:tcW w:type="dxa" w:w="14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Personnel</w:t>
            </w:r>
          </w:p>
        </w:tc>
        <w:tc>
          <w:tcPr>
            <w:tcW w:type="dxa" w:w="14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Direct Costs</w:t>
            </w:r>
          </w:p>
        </w:tc>
        <w:tc>
          <w:tcPr>
            <w:tcW w:type="dxa" w:w="14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Sprint Total</w:t>
            </w:r>
          </w:p>
        </w:tc>
        <w:tc>
          <w:tcPr>
            <w:tcW w:type="dxa" w:w="11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 of Base</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S0</w:t>
            </w:r>
          </w:p>
        </w:tc>
        <w:tc>
          <w:tcPr>
            <w:tcW w:type="dxa" w:w="2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Mobilization &amp; Foundations</w:t>
            </w:r>
          </w:p>
        </w:tc>
        <w:tc>
          <w:tcPr>
            <w:tcW w:type="dxa" w:w="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$28,000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$2,700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$30,700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5.2%</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S1</w:t>
            </w:r>
          </w:p>
        </w:tc>
        <w:tc>
          <w:tcPr>
            <w:tcW w:type="dxa" w:w="2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Discovery &amp; Requirements</w:t>
            </w:r>
          </w:p>
        </w:tc>
        <w:tc>
          <w:tcPr>
            <w:tcW w:type="dxa" w:w="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$64,000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$12,000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$76,000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12.9%</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S2</w:t>
            </w:r>
          </w:p>
        </w:tc>
        <w:tc>
          <w:tcPr>
            <w:tcW w:type="dxa" w:w="2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Architecture &amp; Design Sign-off</w:t>
            </w:r>
          </w:p>
        </w:tc>
        <w:tc>
          <w:tcPr>
            <w:tcW w:type="dxa" w:w="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$72,000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$12,700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$84,700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14.4%</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S3</w:t>
            </w:r>
          </w:p>
        </w:tc>
        <w:tc>
          <w:tcPr>
            <w:tcW w:type="dxa" w:w="2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Foundation Build &amp; DevSecOps</w:t>
            </w:r>
          </w:p>
        </w:tc>
        <w:tc>
          <w:tcPr>
            <w:tcW w:type="dxa" w:w="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$56,000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$9,900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$65,900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11.2%</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S4</w:t>
            </w:r>
          </w:p>
        </w:tc>
        <w:tc>
          <w:tcPr>
            <w:tcW w:type="dxa" w:w="2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Capture &amp; AI Draft Build</w:t>
            </w:r>
          </w:p>
        </w:tc>
        <w:tc>
          <w:tcPr>
            <w:tcW w:type="dxa" w:w="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$78,000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$20,300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$98,300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16.7%</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S5</w:t>
            </w:r>
          </w:p>
        </w:tc>
        <w:tc>
          <w:tcPr>
            <w:tcW w:type="dxa" w:w="2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Review, Sync &amp; Governance Build</w:t>
            </w:r>
          </w:p>
        </w:tc>
        <w:tc>
          <w:tcPr>
            <w:tcW w:type="dxa" w:w="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$58,000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$11,500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$69,500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11.8%</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S6</w:t>
            </w:r>
          </w:p>
        </w:tc>
        <w:tc>
          <w:tcPr>
            <w:tcW w:type="dxa" w:w="2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UAT, Pilot Prep &amp; Integration Test</w:t>
            </w:r>
          </w:p>
        </w:tc>
        <w:tc>
          <w:tcPr>
            <w:tcW w:type="dxa" w:w="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$68,000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$16,900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$84,900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14.4%</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S7</w:t>
            </w:r>
          </w:p>
        </w:tc>
        <w:tc>
          <w:tcPr>
            <w:tcW w:type="dxa" w:w="2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Rollout Wave 1 &amp; Hypercare</w:t>
            </w:r>
          </w:p>
        </w:tc>
        <w:tc>
          <w:tcPr>
            <w:tcW w:type="dxa" w:w="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$62,000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$17,600</w:t>
            </w:r>
          </w:p>
        </w:tc>
        <w:tc>
          <w:tcPr>
            <w:tcW w:type="dxa" w:w="14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$79,600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13.5%</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TOTAL</w:t>
            </w:r>
          </w:p>
        </w:tc>
        <w:tc>
          <w:tcPr>
            <w:tcW w:type="dxa" w:w="2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All Sprints (S0–S7)</w:t>
            </w:r>
          </w:p>
        </w:tc>
        <w:tc>
          <w:tcPr>
            <w:tcW w:type="dxa" w:w="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32</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$486,000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$103,600</w:t>
            </w:r>
          </w:p>
        </w:tc>
        <w:tc>
          <w:tcPr>
            <w:tcW w:type="dxa" w:w="14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$589,600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100.0%</w:t>
            </w:r>
          </w:p>
        </w:tc>
      </w:tr>
    </w:tbl>
    <w:p>
      <w:pPr>
        <w:pStyle w:val="Heading2"/>
        <w:spacing w:after="100" w:before="280" w:line="312"/>
      </w:pPr>
      <w:bookmarkStart w:id="100006" w:name="_Toc100006"/>
      <w:r>
        <w:rPr>
          <w:rFonts w:ascii="Times New Roman" w:eastAsia="SimHei"/>
          <w:b/>
          <w:bCs/>
          <w:color w:val="182030"/>
          <w:sz w:val="30"/>
          <w:szCs w:val="30"/>
        </w:rPr>
        <w:t xml:space="preserve">2.2 Sprint Cost Narrative</w:t>
      </w:r>
      <w:bookmarkEnd w:id="100006"/>
    </w:p>
    <w:p>
      <w:pPr>
        <w:pStyle w:val="Heading3"/>
        <w:spacing w:after="80" w:before="220" w:line="312"/>
      </w:pPr>
      <w:bookmarkStart w:id="100007" w:name="_Toc100007"/>
      <w:r>
        <w:rPr>
          <w:rFonts w:ascii="Times New Roman" w:eastAsia="SimHei"/>
          <w:b/>
          <w:bCs/>
          <w:color w:val="182030"/>
          <w:sz w:val="28"/>
          <w:szCs w:val="28"/>
        </w:rPr>
        <w:t xml:space="preserve">2.2.1 Sprint 0 — Mobilization &amp; Foundations ($30,700)</w:t>
      </w:r>
      <w:bookmarkEnd w:id="100007"/>
    </w:p>
    <w:p>
      <w:pPr>
        <w:spacing w:after="60" w:line="312"/>
        <w:ind w:firstLine="480"/>
        <w:jc w:val="both"/>
      </w:pPr>
      <w:r>
        <w:rPr>
          <w:rFonts w:ascii="Times New Roman" w:eastAsia="SimSun"/>
          <w:color w:val="182030"/>
          <w:sz w:val="24"/>
          <w:szCs w:val="24"/>
        </w:rPr>
        <w:t xml:space="preserve">Sprint 0 is the shortest sprint in the engagement at two calendar weeks and carries the smallest budget. The work concentrates on charter, governance, environment strategy, vision brief, requirements traceability matrix, AI agent operating rules, security and tenant approval checklist, documentation index, and the v0.1.0 mobilization release notes. Personnel costs of twenty-eight thousand dollars cover the delivery lead, solution architect, business analyst, and technical writer for two weeks of intensive alignment work. Direct costs of two thousand seven hundred dollars cover initial Neon PostgreSQL provisioning, GitHub organization setup, and basic project tooling licenses. No third-party API costs are incurred in this sprint as no production integrations are activated.</w:t>
      </w:r>
    </w:p>
    <w:p>
      <w:pPr>
        <w:pStyle w:val="Heading3"/>
        <w:spacing w:after="80" w:before="220" w:line="312"/>
      </w:pPr>
      <w:bookmarkStart w:id="100008" w:name="_Toc100008"/>
      <w:r>
        <w:rPr>
          <w:rFonts w:ascii="Times New Roman" w:eastAsia="SimHei"/>
          <w:b/>
          <w:bCs/>
          <w:color w:val="182030"/>
          <w:sz w:val="28"/>
          <w:szCs w:val="28"/>
        </w:rPr>
        <w:t xml:space="preserve">2.2.2 Sprint 1 — Discovery &amp; Requirements ($76,000)</w:t>
      </w:r>
      <w:bookmarkEnd w:id="100008"/>
    </w:p>
    <w:p>
      <w:pPr>
        <w:spacing w:after="60" w:line="312"/>
        <w:ind w:firstLine="480"/>
        <w:jc w:val="both"/>
      </w:pPr>
      <w:r>
        <w:rPr>
          <w:rFonts w:ascii="Times New Roman" w:eastAsia="SimSun"/>
          <w:color w:val="182030"/>
          <w:sz w:val="24"/>
          <w:szCs w:val="24"/>
        </w:rPr>
        <w:t xml:space="preserve">Sprint 1 spans four calendar weeks and produces the foundational requirements artefacts that govern all subsequent sprints. Deliverables include the Business Requirements Document, Product Requirements Document, Stakeholder Matrix, Current State Process Map, User Persona Pack, Initial User Story Catalogue, Baseline Measurement Plan, Baseline Evidence Capture Template, and v0.2.0 Discovery Release Notes. The budget of seventy-six thousand dollars includes substantive field research cost — three thousand five hundred dollars in travel covering stakeholder interviews across at least two countries — and forty-five hundred dollars in third-party costs for survey tooling and stakeholder workshop facilitation. Personnel is heavily weighted toward business analysis, UX design, and field research, with engineering involvement limited to feasibility validation.</w:t>
      </w:r>
    </w:p>
    <w:p>
      <w:pPr>
        <w:pStyle w:val="Heading3"/>
        <w:spacing w:after="80" w:before="220" w:line="312"/>
      </w:pPr>
      <w:bookmarkStart w:id="100009" w:name="_Toc100009"/>
      <w:r>
        <w:rPr>
          <w:rFonts w:ascii="Times New Roman" w:eastAsia="SimHei"/>
          <w:b/>
          <w:bCs/>
          <w:color w:val="182030"/>
          <w:sz w:val="28"/>
          <w:szCs w:val="28"/>
        </w:rPr>
        <w:t xml:space="preserve">2.2.3 Sprint 2 — Architecture &amp; Design Sign-off ($84,700)</w:t>
      </w:r>
      <w:bookmarkEnd w:id="100009"/>
    </w:p>
    <w:p>
      <w:pPr>
        <w:spacing w:after="60" w:line="312"/>
        <w:ind w:firstLine="480"/>
        <w:jc w:val="both"/>
      </w:pPr>
      <w:r>
        <w:rPr>
          <w:rFonts w:ascii="Times New Roman" w:eastAsia="SimSun"/>
          <w:color w:val="182030"/>
          <w:sz w:val="24"/>
          <w:szCs w:val="24"/>
        </w:rPr>
        <w:t xml:space="preserve">Sprint 2 is the design-centric sprint that produces the Software Requirements Specification, Functional Requirements Specification, Solution Architecture Document, Integration Architecture Document, Non-Functional Requirements, RBAC Matrix, Data Flow Diagrams, Sequence Diagrams, ADR Set, AI Prompt Workflow Specification, Exception Workflow Specification, Salesforce Mapping Specification, and v0.3.0 Design Sign-off Release Notes. The budget of eighty-four thousand seven hundred dollars is the second-largest in the engagement, driven by the heavy involvement of the solution architect, AI/LLM engineer, and Salesforce integration specialist. Direct costs of twelve thousand seven hundred dollars include the Salesforce sandbox license, integration testing tooling, and architecture modelling software. This sprint concludes with the formal design sign-off that triggers the twenty-percent milestone payment M3 — the largest single billing event in the engagement.</w:t>
      </w:r>
    </w:p>
    <w:p>
      <w:pPr>
        <w:pStyle w:val="Heading3"/>
        <w:spacing w:after="80" w:before="220" w:line="312"/>
      </w:pPr>
      <w:bookmarkStart w:id="100010" w:name="_Toc100010"/>
      <w:r>
        <w:rPr>
          <w:rFonts w:ascii="Times New Roman" w:eastAsia="SimHei"/>
          <w:b/>
          <w:bCs/>
          <w:color w:val="182030"/>
          <w:sz w:val="28"/>
          <w:szCs w:val="28"/>
        </w:rPr>
        <w:t xml:space="preserve">2.2.4 Sprint 3 — Foundation Build &amp; DevSecOps ($65,900)</w:t>
      </w:r>
      <w:bookmarkEnd w:id="100010"/>
    </w:p>
    <w:p>
      <w:pPr>
        <w:spacing w:after="60" w:line="312"/>
        <w:ind w:firstLine="480"/>
        <w:jc w:val="both"/>
      </w:pPr>
      <w:r>
        <w:rPr>
          <w:rFonts w:ascii="Times New Roman" w:eastAsia="SimSun"/>
          <w:color w:val="182030"/>
          <w:sz w:val="24"/>
          <w:szCs w:val="24"/>
        </w:rPr>
        <w:t xml:space="preserve">Sprint 3 is a three-week sprint focused on engineering foundations: the CI/CD pipeline, environment provisioning, DevSecOps runbook, engineering standards guide, API standards guide, logging and observability guide, release management standard operating procedure, ADR updates, and v0.4.0 Foundation Release Notes. The budget of sixty-five thousand nine hundred dollars is dominated by personnel at ninety-six percent of sprint total — the highest personnel concentration in the engagement — reflecting a pure engineering sprint with no field operations and minimal third-party spend. Direct costs cover extended Neon PostgreSQL capacity, Vercel Pro hosting, Sentry error tracking, and Datadog observability tooling for the staging environment that goes live at the end of this sprint.</w:t>
      </w:r>
    </w:p>
    <w:p>
      <w:pPr>
        <w:pStyle w:val="Heading3"/>
        <w:spacing w:after="80" w:before="220" w:line="312"/>
      </w:pPr>
      <w:bookmarkStart w:id="100011" w:name="_Toc100011"/>
      <w:r>
        <w:rPr>
          <w:rFonts w:ascii="Times New Roman" w:eastAsia="SimHei"/>
          <w:b/>
          <w:bCs/>
          <w:color w:val="182030"/>
          <w:sz w:val="28"/>
          <w:szCs w:val="28"/>
        </w:rPr>
        <w:t xml:space="preserve">2.2.5 Sprint 4 — Capture &amp; AI Draft Build ($98,300)</w:t>
      </w:r>
      <w:bookmarkEnd w:id="100011"/>
    </w:p>
    <w:p>
      <w:pPr>
        <w:spacing w:after="60" w:line="312"/>
        <w:ind w:firstLine="480"/>
        <w:jc w:val="both"/>
      </w:pPr>
      <w:r>
        <w:rPr>
          <w:rFonts w:ascii="Times New Roman" w:eastAsia="SimSun"/>
          <w:color w:val="182030"/>
          <w:sz w:val="24"/>
          <w:szCs w:val="24"/>
        </w:rPr>
        <w:t xml:space="preserve">Sprint 4 is the largest-budget sprint in the engagement at ninety-eight thousand three hundred dollars and carries the highest concentration of AI/LLM engineering effort. Deliverables include the Capture Module Design Document, Transcription and Extraction Design Document, Offline Drafting Specification, Field UX Guide, AI Confidence Review Policy, API Contracts v1, Activation Area Mapping Guide, and v0.5.0 Capture AI Draft Release Notes. Third-party API costs of nine thousand five hundred dollars cover the first substantive OpenAI and Anthropic API consumption as the AI drafting pipeline is exercised in integration tests. Field travel of eighteen hundred dollars supports a one-week field UX validation visit. This sprint concludes with the beta release of the capture and AI draft module, triggering milestone payment M5.</w:t>
      </w:r>
    </w:p>
    <w:p>
      <w:pPr>
        <w:pStyle w:val="Heading3"/>
        <w:spacing w:after="80" w:before="220" w:line="312"/>
      </w:pPr>
      <w:bookmarkStart w:id="100012" w:name="_Toc100012"/>
      <w:r>
        <w:rPr>
          <w:rFonts w:ascii="Times New Roman" w:eastAsia="SimHei"/>
          <w:b/>
          <w:bCs/>
          <w:color w:val="182030"/>
          <w:sz w:val="28"/>
          <w:szCs w:val="28"/>
        </w:rPr>
        <w:t xml:space="preserve">2.2.6 Sprint 5 — Review, Sync &amp; Governance Build ($69,500)</w:t>
      </w:r>
      <w:bookmarkEnd w:id="100012"/>
    </w:p>
    <w:p>
      <w:pPr>
        <w:spacing w:after="60" w:line="312"/>
        <w:ind w:firstLine="480"/>
        <w:jc w:val="both"/>
      </w:pPr>
      <w:r>
        <w:rPr>
          <w:rFonts w:ascii="Times New Roman" w:eastAsia="SimSun"/>
          <w:color w:val="182030"/>
          <w:sz w:val="24"/>
          <w:szCs w:val="24"/>
        </w:rPr>
        <w:t xml:space="preserve">Sprint 5 spans three weeks and produces the governance and review layer that wraps the AI drafting capability delivered in Sprint 4. Deliverables include the Review Workflow Specification, Exception Handling Specification, Salesforce Sync Specification v1, Data Validation Rules Catalogue, Audit Trail Specification, Reviewer Standard Operating Procedure, Updated FRS/SRS, and v0.6.0 Review Sync Governance Release Notes. The budget of sixty-nine thousand five hundred dollars reflects concentrated full-stack and backend engineering effort to build the human-in-the-loop review console, the Salesforce bidirectional sync engine, and the comprehensive audit trail that meets Aceli Africa's compliance requirements. Third-party costs of forty-five hundred dollars cover Salesforce sandbox refresh and additional API quota for sync testing.</w:t>
      </w:r>
    </w:p>
    <w:p>
      <w:pPr>
        <w:pStyle w:val="Heading3"/>
        <w:spacing w:after="80" w:before="220" w:line="312"/>
      </w:pPr>
      <w:bookmarkStart w:id="100013" w:name="_Toc100013"/>
      <w:r>
        <w:rPr>
          <w:rFonts w:ascii="Times New Roman" w:eastAsia="SimHei"/>
          <w:b/>
          <w:bCs/>
          <w:color w:val="182030"/>
          <w:sz w:val="28"/>
          <w:szCs w:val="28"/>
        </w:rPr>
        <w:t xml:space="preserve">2.2.7 Sprint 6 — UAT, Pilot Prep &amp; Integration Test ($84,900)</w:t>
      </w:r>
      <w:bookmarkEnd w:id="100013"/>
    </w:p>
    <w:p>
      <w:pPr>
        <w:spacing w:after="60" w:line="312"/>
        <w:ind w:firstLine="480"/>
        <w:jc w:val="both"/>
      </w:pPr>
      <w:r>
        <w:rPr>
          <w:rFonts w:ascii="Times New Roman" w:eastAsia="SimSun"/>
          <w:color w:val="182030"/>
          <w:sz w:val="24"/>
          <w:szCs w:val="24"/>
        </w:rPr>
        <w:t xml:space="preserve">Sprint 6 is a four-week validation sprint that prepares the platform for pilot deployment. Deliverables include the UAT Plan and Scripts, Integration Test Report, Pilot Runbook, Training Material Drafts, Performance and Security Test Report, and Defect Triage Log. The budget of eighty-four thousand nine hundred dollars includes elevated QA and test lead effort, performance engineering, security penetration testing, and the first substantive field travel for UAT facilitation — four thousand two hundred dollars covering stakeholder UAT sessions in at least one pilot country. Third-party costs of thirty-five hundred dollars cover load testing tooling and the external security review. Sprint 6 concludes with UAT sign-off, triggering milestone payment M7.</w:t>
      </w:r>
    </w:p>
    <w:p>
      <w:pPr>
        <w:pStyle w:val="Heading3"/>
        <w:spacing w:after="80" w:before="220" w:line="312"/>
      </w:pPr>
      <w:bookmarkStart w:id="100014" w:name="_Toc100014"/>
      <w:r>
        <w:rPr>
          <w:rFonts w:ascii="Times New Roman" w:eastAsia="SimHei"/>
          <w:b/>
          <w:bCs/>
          <w:color w:val="182030"/>
          <w:sz w:val="28"/>
          <w:szCs w:val="28"/>
        </w:rPr>
        <w:t xml:space="preserve">2.2.8 Sprint 7 — Rollout Wave 1 &amp; Hypercare ($79,600)</w:t>
      </w:r>
      <w:bookmarkEnd w:id="100014"/>
    </w:p>
    <w:p>
      <w:pPr>
        <w:spacing w:after="60" w:line="312"/>
        <w:ind w:firstLine="480"/>
        <w:jc w:val="both"/>
      </w:pPr>
      <w:r>
        <w:rPr>
          <w:rFonts w:ascii="Times New Roman" w:eastAsia="SimSun"/>
          <w:color w:val="182030"/>
          <w:sz w:val="24"/>
          <w:szCs w:val="24"/>
        </w:rPr>
        <w:t xml:space="preserve">Sprint 7 is the four-week deployment sprint that takes the platform live in Wave 1 countries and operates the hypercare period. Deliverables include the Rollout Wave 1 Plan, Hypercare SOP, Country Configuration Checklist, Country Training Pack, Pilot KPI Validation Report, Defect Triage Report, Updated FRS/SRS for Sprint 7, and v1.1.0 Rollout Wave 1 Release Notes. The budget of seventy-nine thousand six hundred dollars includes the highest travel spend in the engagement — five thousand five hundred dollars covering in-country rollout support and training delivery — and elevated change and training lead effort. Hypercare runs through the end of the sprint, with the Pilot KPI Validation Report serving as the artefact that closes the engagement and triggers the final milestone payment M8.</w:t>
      </w:r>
    </w:p>
    <w:p>
      <w:pPr>
        <w:pStyle w:val="Heading1"/>
        <w:spacing w:after="120" w:before="360" w:line="312"/>
      </w:pPr>
      <w:bookmarkStart w:id="100015" w:name="_Toc100015"/>
      <w:r>
        <w:rPr>
          <w:rFonts w:ascii="Times New Roman" w:eastAsia="SimHei"/>
          <w:b/>
          <w:bCs/>
          <w:color w:val="182030"/>
          <w:sz w:val="32"/>
          <w:szCs w:val="32"/>
        </w:rPr>
        <w:t xml:space="preserve">3. Resource Costing</w:t>
      </w:r>
      <w:bookmarkEnd w:id="100015"/>
    </w:p>
    <w:p>
      <w:pPr>
        <w:pStyle w:val="Heading2"/>
        <w:spacing w:after="100" w:before="280" w:line="312"/>
      </w:pPr>
      <w:bookmarkStart w:id="100016" w:name="_Toc100016"/>
      <w:r>
        <w:rPr>
          <w:rFonts w:ascii="Times New Roman" w:eastAsia="SimHei"/>
          <w:b/>
          <w:bCs/>
          <w:color w:val="182030"/>
          <w:sz w:val="30"/>
          <w:szCs w:val="30"/>
        </w:rPr>
        <w:t xml:space="preserve">3.1 Role Rate Card</w:t>
      </w:r>
      <w:bookmarkEnd w:id="100016"/>
    </w:p>
    <w:p>
      <w:pPr>
        <w:spacing w:after="60" w:line="312"/>
        <w:ind w:firstLine="480"/>
        <w:jc w:val="both"/>
      </w:pPr>
      <w:r>
        <w:rPr>
          <w:rFonts w:ascii="Times New Roman" w:eastAsia="SimSun"/>
          <w:color w:val="182030"/>
          <w:sz w:val="24"/>
          <w:szCs w:val="24"/>
        </w:rPr>
        <w:t xml:space="preserve">The engagement is staffed by a fourteen-role pod model with fully-loaded blended day rates. Rates are inclusive of salary, benefits, paid time off, and overhead allocation, and are applied uniformly across all sprints. The rate card below reflects Z.ai Delivery's standard pricing for AI-augmented engineering pods serving development-sector clients; rates for commercial-sector engagements are typically fifteen to twenty percent higher. The total personnel cost of four hundred eighty-six thousand dollars across one thousand one hundred fifteen man-days represents the dominant cost block of the engagement at approximately eighty-two percent of base budget.</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gridCol w:w="100"/>
      </w:tblGrid>
      <w:tr>
        <w:trPr>
          <w:tblHeader/>
        </w:trPr>
        <w:tc>
          <w:tcPr>
            <w:tcW w:type="dxa" w:w="3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Role</w:t>
            </w:r>
          </w:p>
        </w:tc>
        <w:tc>
          <w:tcPr>
            <w:tcW w:type="dxa" w:w="12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Day Rate</w:t>
            </w:r>
          </w:p>
        </w:tc>
        <w:tc>
          <w:tcPr>
            <w:tcW w:type="dxa" w:w="11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Man-Days</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Subtotal</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 of Personnel</w:t>
            </w:r>
          </w:p>
        </w:tc>
        <w:tc>
          <w:tcPr>
            <w:tcW w:type="dxa" w:w="13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Sprints Active</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Delivery Lead / PM</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$850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120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$102,000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21.0%</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S0–S7</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Solution Architect</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$99,000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20.4%</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S0–S5</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Full-stack Engineer (Next.js)</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220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$154,000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31.7%</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S2–S7</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Backend / Prisma Engineer</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$750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150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$112,500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23.1%</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S2–S7</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AI / LLM Engineer</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$950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110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$104,500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21.5%</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S2–S7</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Salesforce Integration Spec</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$54,000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11.1%</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S2,S5,S7</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DevSecOps / Platform Engineer</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85</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$68,000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14.0%</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S3,S4,S6</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QA / Test Lead</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$650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95</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$61,750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12.7%</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S4–S7</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UX / Product Designer</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75</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$52,500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10.8%</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S1,S2,S4</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Business Analyst</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$650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$65,000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13.4%</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S0–S2,S5</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Field Research / Survey Lead</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$550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$22,000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4.5%</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S1,S7</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Technical Writer</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$30,000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6.2%</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S0,S2,S3,S5,S7</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Change &amp; Training Lead</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$700</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45</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$31,500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6.5%</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S6,S7</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Security &amp; Compliance Reviewer</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$1,100</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25</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$27,500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5.7%</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S0,S2,S3,S6</w:t>
            </w:r>
          </w:p>
        </w:tc>
      </w:tr>
    </w:tbl>
    <w:p>
      <w:pPr>
        <w:pStyle w:val="Heading2"/>
        <w:spacing w:after="100" w:before="280" w:line="312"/>
      </w:pPr>
      <w:bookmarkStart w:id="100017" w:name="_Toc100017"/>
      <w:r>
        <w:rPr>
          <w:rFonts w:ascii="Times New Roman" w:eastAsia="SimHei"/>
          <w:b/>
          <w:bCs/>
          <w:color w:val="182030"/>
          <w:sz w:val="30"/>
          <w:szCs w:val="30"/>
        </w:rPr>
        <w:t xml:space="preserve">3.2 Man-Day Distribution by Phase</w:t>
      </w:r>
      <w:bookmarkEnd w:id="100017"/>
    </w:p>
    <w:p>
      <w:pPr>
        <w:spacing w:after="60" w:line="312"/>
        <w:ind w:firstLine="480"/>
        <w:jc w:val="both"/>
      </w:pPr>
      <w:r>
        <w:rPr>
          <w:rFonts w:ascii="Times New Roman" w:eastAsia="SimSun"/>
          <w:color w:val="182030"/>
          <w:sz w:val="24"/>
          <w:szCs w:val="24"/>
        </w:rPr>
        <w:t xml:space="preserve">The total engagement requires one thousand one hundred fifteen man-days distributed across six project phases. The Build phase (Sprint 3 through Sprint 5) absorbs the largest share at approximately three hundred man-days, reflecting the concentrated engineering effort required to deliver the foundation, capture AI, and review/sync governance components. The Discover and Design phases (Sprint 1 and Sprint 2) together account for approximately two hundred man-days, reflecting the heavy involvement of business analysis, UX design, and architecture. The Deploy phase (Sprint 7) carries elevated change management and training effort to support the Wave 1 rollout. The PM and governance function runs consistently across all sprints at a steady cadence of approximately fifteen man-days per sprint.</w:t>
      </w:r>
    </w:p>
    <w:p>
      <w:pPr>
        <w:pStyle w:val="Heading1"/>
        <w:spacing w:after="120" w:before="360" w:line="312"/>
      </w:pPr>
      <w:bookmarkStart w:id="100018" w:name="_Toc100018"/>
      <w:r>
        <w:rPr>
          <w:rFonts w:ascii="Times New Roman" w:eastAsia="SimHei"/>
          <w:b/>
          <w:bCs/>
          <w:color w:val="182030"/>
          <w:sz w:val="32"/>
          <w:szCs w:val="32"/>
        </w:rPr>
        <w:t xml:space="preserve">4. Cost by Category</w:t>
      </w:r>
      <w:bookmarkEnd w:id="100018"/>
    </w:p>
    <w:p>
      <w:pPr>
        <w:pStyle w:val="Heading2"/>
        <w:spacing w:after="100" w:before="280" w:line="312"/>
      </w:pPr>
      <w:bookmarkStart w:id="100019" w:name="_Toc100019"/>
      <w:r>
        <w:rPr>
          <w:rFonts w:ascii="Times New Roman" w:eastAsia="SimHei"/>
          <w:b/>
          <w:bCs/>
          <w:color w:val="182030"/>
          <w:sz w:val="30"/>
          <w:szCs w:val="30"/>
        </w:rPr>
        <w:t xml:space="preserve">4.1 Capex / Opex Split</w:t>
      </w:r>
      <w:bookmarkEnd w:id="100019"/>
    </w:p>
    <w:p>
      <w:pPr>
        <w:spacing w:after="60" w:line="312"/>
        <w:ind w:firstLine="480"/>
        <w:jc w:val="both"/>
      </w:pPr>
      <w:r>
        <w:rPr>
          <w:rFonts w:ascii="Times New Roman" w:eastAsia="SimSun"/>
          <w:color w:val="182030"/>
          <w:sz w:val="24"/>
          <w:szCs w:val="24"/>
        </w:rPr>
        <w:t xml:space="preserve">The base budget is allocated across eight cost categories classified as either capital expenditure (Capex) or operating expenditure (Opex). Capex categories — comprising all personnel costs — represent eighty-seven percent of base budget and are capitalised over the useful life of the platform. Opex categories — comprising cloud infrastructure, third-party APIs, tooling, and field travel — represent thirteen percent of base budget and are treated as recurring run-cost that will transition to steady-state operations post-launch. This split is indicative; final accounting treatment should be confirmed with Aceli Africa's finance function in accordance with the organisation's capitalisation policy.</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tblGrid>
      <w:tr>
        <w:trPr>
          <w:tblHeader/>
        </w:trPr>
        <w:tc>
          <w:tcPr>
            <w:tcW w:type="dxa" w:w="3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Category</w:t>
            </w:r>
          </w:p>
        </w:tc>
        <w:tc>
          <w:tcPr>
            <w:tcW w:type="dxa" w:w="11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Type</w:t>
            </w:r>
          </w:p>
        </w:tc>
        <w:tc>
          <w:tcPr>
            <w:tcW w:type="dxa" w:w="16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USD</w:t>
            </w:r>
          </w:p>
        </w:tc>
        <w:tc>
          <w:tcPr>
            <w:tcW w:type="dxa" w:w="13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 of Base</w:t>
            </w:r>
          </w:p>
        </w:tc>
        <w:tc>
          <w:tcPr>
            <w:tcW w:type="dxa" w:w="3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Description</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Personnel — Engineering</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Capex</w:t>
            </w:r>
          </w:p>
        </w:tc>
        <w:tc>
          <w:tcPr>
            <w:tcW w:type="dxa" w:w="1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$306,592</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52.0%</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Full-stack, backend, AI/LLM, DevSecOps engineering staff</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Personnel — Design &amp; BA</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Capex</w:t>
            </w:r>
          </w:p>
        </w:tc>
        <w:tc>
          <w:tcPr>
            <w:tcW w:type="dxa" w:w="1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$82,544</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14.0%</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UX design, business analysis, field research</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Personnel — PM &amp; Governance</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Capex</w:t>
            </w:r>
          </w:p>
        </w:tc>
        <w:tc>
          <w:tcPr>
            <w:tcW w:type="dxa" w:w="1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$64,856</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11.0%</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PM, architecture, security/compliance review</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Personnel — QA &amp; Training</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Capex</w:t>
            </w:r>
          </w:p>
        </w:tc>
        <w:tc>
          <w:tcPr>
            <w:tcW w:type="dxa" w:w="1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$58,960</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10.0%</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QA/test lead, change mgmt, technical writing</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Cloud Infrastructure</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Opex</w:t>
            </w:r>
          </w:p>
        </w:tc>
        <w:tc>
          <w:tcPr>
            <w:tcW w:type="dxa" w:w="1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$29,480</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5.0%</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Neon PostgreSQL, Vercel hosting, object storage, egress</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Third-party APIs &amp; Licenses</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Opex</w:t>
            </w:r>
          </w:p>
        </w:tc>
        <w:tc>
          <w:tcPr>
            <w:tcW w:type="dxa" w:w="1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$23,584</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4.0%</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OpenAI/Anthropic LLM, Salesforce API, Twilio, maps</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Tooling &amp; Dev Productivity</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Opex</w:t>
            </w:r>
          </w:p>
        </w:tc>
        <w:tc>
          <w:tcPr>
            <w:tcW w:type="dxa" w:w="1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$11,792</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GitHub, Linear, Sentry, Figma, Notion, Datadog</w:t>
            </w:r>
          </w:p>
        </w:tc>
      </w:tr>
      <w:tr>
        <w:trPr>
          <w:cantSplit/>
        </w:trPr>
        <w:tc>
          <w:tcPr>
            <w:tcW w:type="dxa" w:w="38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Field Travel &amp; Stakeholder Ops</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Opex</w:t>
            </w:r>
          </w:p>
        </w:tc>
        <w:tc>
          <w:tcPr>
            <w:tcW w:type="dxa" w:w="1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$11,792</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Country visits, stakeholder workshops, training delivery</w:t>
            </w:r>
          </w:p>
        </w:tc>
      </w:tr>
      <w:tr>
        <w:trPr>
          <w:cantSplit/>
        </w:trPr>
        <w:tc>
          <w:tcPr>
            <w:tcW w:type="dxa" w:w="38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TOTAL BASE BUDGET</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w:t>
            </w:r>
          </w:p>
        </w:tc>
        <w:tc>
          <w:tcPr>
            <w:tcW w:type="dxa" w:w="1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$589,600</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100.0%</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Sum of all categories above</w:t>
            </w:r>
          </w:p>
        </w:tc>
      </w:tr>
    </w:tbl>
    <w:p>
      <w:pPr>
        <w:pStyle w:val="Heading1"/>
        <w:spacing w:after="120" w:before="360" w:line="312"/>
      </w:pPr>
      <w:bookmarkStart w:id="100020" w:name="_Toc100020"/>
      <w:r>
        <w:rPr>
          <w:rFonts w:ascii="Times New Roman" w:eastAsia="SimHei"/>
          <w:b/>
          <w:bCs/>
          <w:color w:val="182030"/>
          <w:sz w:val="32"/>
          <w:szCs w:val="32"/>
        </w:rPr>
        <w:t xml:space="preserve">5. Development Timeline</w:t>
      </w:r>
      <w:bookmarkEnd w:id="100020"/>
    </w:p>
    <w:p>
      <w:pPr>
        <w:pStyle w:val="Heading2"/>
        <w:spacing w:after="100" w:before="280" w:line="312"/>
      </w:pPr>
      <w:bookmarkStart w:id="100021" w:name="_Toc100021"/>
      <w:r>
        <w:rPr>
          <w:rFonts w:ascii="Times New Roman" w:eastAsia="SimHei"/>
          <w:b/>
          <w:bCs/>
          <w:color w:val="182030"/>
          <w:sz w:val="30"/>
          <w:szCs w:val="30"/>
        </w:rPr>
        <w:t xml:space="preserve">5.1 Sprint Calendar Overview</w:t>
      </w:r>
      <w:bookmarkEnd w:id="100021"/>
    </w:p>
    <w:p>
      <w:pPr>
        <w:spacing w:after="60" w:line="312"/>
        <w:ind w:firstLine="480"/>
        <w:jc w:val="both"/>
      </w:pPr>
      <w:r>
        <w:rPr>
          <w:rFonts w:ascii="Times New Roman" w:eastAsia="SimSun"/>
          <w:color w:val="182030"/>
          <w:sz w:val="24"/>
          <w:szCs w:val="24"/>
        </w:rPr>
        <w:t xml:space="preserve">The engagement runs for thirty-two calendar weeks from 12 January 2026 through 24 July 2026, structured as eight sprints of varying duration. Sprint 0 is the shortest at two weeks; Sprints 1, 2, 4, 6, and 7 are four weeks each; Sprints 3 and 5 are three weeks each. The cadence is deliberately uneven: shorter sprints at Sprint 0 (mobilization), Sprint 3 (foundation build), and Sprint 5 (review/sync build) reflect focused execution work with limited external dependencies, while the longer sprints accommodate stakeholder engagement, field operations, and comprehensive validation activities. All sprint boundaries are aligned to calendar weeks beginning on Monday to simplify planning cadence.</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gridCol w:w="100"/>
        <w:gridCol w:w="100"/>
      </w:tblGrid>
      <w:tr>
        <w:trPr>
          <w:tblHeader/>
        </w:trPr>
        <w:tc>
          <w:tcPr>
            <w:tcW w:type="dxa" w:w="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Sprint</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Phase</w:t>
            </w:r>
          </w:p>
        </w:tc>
        <w:tc>
          <w:tcPr>
            <w:tcW w:type="dxa" w:w="30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Name</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Start</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End</w:t>
            </w:r>
          </w:p>
        </w:tc>
        <w:tc>
          <w:tcPr>
            <w:tcW w:type="dxa" w:w="8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Weeks</w:t>
            </w:r>
          </w:p>
        </w:tc>
        <w:tc>
          <w:tcPr>
            <w:tcW w:type="dxa" w:w="20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Milestone</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S0</w:t>
            </w:r>
          </w:p>
        </w:tc>
        <w:tc>
          <w:tcPr>
            <w:tcW w:type="dxa" w:w="1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Initiate</w:t>
            </w:r>
          </w:p>
        </w:tc>
        <w:tc>
          <w:tcPr>
            <w:tcW w:type="dxa" w:w="3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Mobilization &amp; Foundations</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2026-01-12</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2026-01-23</w:t>
            </w:r>
          </w:p>
        </w:tc>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w:t>
            </w:r>
          </w:p>
        </w:tc>
        <w:tc>
          <w:tcPr>
            <w:tcW w:type="dxa" w:w="2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M1 — Charter Sign-off</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S1</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Discover</w:t>
            </w:r>
          </w:p>
        </w:tc>
        <w:tc>
          <w:tcPr>
            <w:tcW w:type="dxa" w:w="3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Discovery &amp; Requirements</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2026-01-26</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2026-02-20</w:t>
            </w:r>
          </w:p>
        </w:tc>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M2 — Requirements Sign-off</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S2</w:t>
            </w:r>
          </w:p>
        </w:tc>
        <w:tc>
          <w:tcPr>
            <w:tcW w:type="dxa" w:w="1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Design</w:t>
            </w:r>
          </w:p>
        </w:tc>
        <w:tc>
          <w:tcPr>
            <w:tcW w:type="dxa" w:w="3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Architecture &amp; Design Sign-off</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2026-02-23</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2026-03-20</w:t>
            </w:r>
          </w:p>
        </w:tc>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2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M3 — Design Sign-off (20%)</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S3</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Build</w:t>
            </w:r>
          </w:p>
        </w:tc>
        <w:tc>
          <w:tcPr>
            <w:tcW w:type="dxa" w:w="3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Foundation Build &amp; DevSecOps</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2026-03-23</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2026-04-10</w:t>
            </w:r>
          </w:p>
        </w:tc>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M4 — Foundation Complete</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S4</w:t>
            </w:r>
          </w:p>
        </w:tc>
        <w:tc>
          <w:tcPr>
            <w:tcW w:type="dxa" w:w="1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Build</w:t>
            </w:r>
          </w:p>
        </w:tc>
        <w:tc>
          <w:tcPr>
            <w:tcW w:type="dxa" w:w="3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Capture &amp; AI Draft Build</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2026-04-13</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2026-05-08</w:t>
            </w:r>
          </w:p>
        </w:tc>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2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M5 — Capture AI Beta</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S5</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Build</w:t>
            </w:r>
          </w:p>
        </w:tc>
        <w:tc>
          <w:tcPr>
            <w:tcW w:type="dxa" w:w="3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Review, Sync &amp; Governance Build</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2026-05-11</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2026-05-29</w:t>
            </w:r>
          </w:p>
        </w:tc>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M6 — Governance Beta</w:t>
            </w:r>
          </w:p>
        </w:tc>
      </w:tr>
      <w:tr>
        <w:trPr>
          <w:cantSplit/>
        </w:trPr>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S6</w:t>
            </w:r>
          </w:p>
        </w:tc>
        <w:tc>
          <w:tcPr>
            <w:tcW w:type="dxa" w:w="1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Validate</w:t>
            </w:r>
          </w:p>
        </w:tc>
        <w:tc>
          <w:tcPr>
            <w:tcW w:type="dxa" w:w="3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UAT, Pilot Prep &amp; Integration Test</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2026-06-01</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2026-06-26</w:t>
            </w:r>
          </w:p>
        </w:tc>
        <w:tc>
          <w:tcPr>
            <w:tcW w:type="dxa" w:w="8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4</w:t>
            </w:r>
          </w:p>
        </w:tc>
        <w:tc>
          <w:tcPr>
            <w:tcW w:type="dxa" w:w="20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M7 — UAT Sign-off</w:t>
            </w:r>
          </w:p>
        </w:tc>
      </w:tr>
      <w:tr>
        <w:trPr>
          <w:cantSplit/>
        </w:trPr>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S7</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Deploy</w:t>
            </w:r>
          </w:p>
        </w:tc>
        <w:tc>
          <w:tcPr>
            <w:tcW w:type="dxa" w:w="3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Rollout Wave 1 &amp; Hypercare</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2026-06-29</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2026-07-24</w:t>
            </w:r>
          </w:p>
        </w:tc>
        <w:tc>
          <w:tcPr>
            <w:tcW w:type="dxa" w:w="8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M8 — Wave 1 Live</w:t>
            </w:r>
          </w:p>
        </w:tc>
      </w:tr>
    </w:tbl>
    <w:p>
      <w:pPr>
        <w:pStyle w:val="Heading2"/>
        <w:spacing w:after="100" w:before="280" w:line="312"/>
      </w:pPr>
      <w:bookmarkStart w:id="100022" w:name="_Toc100022"/>
      <w:r>
        <w:rPr>
          <w:rFonts w:ascii="Times New Roman" w:eastAsia="SimHei"/>
          <w:b/>
          <w:bCs/>
          <w:color w:val="182030"/>
          <w:sz w:val="30"/>
          <w:szCs w:val="30"/>
        </w:rPr>
        <w:t xml:space="preserve">5.2 Phase Structure</w:t>
      </w:r>
      <w:bookmarkEnd w:id="100022"/>
    </w:p>
    <w:p>
      <w:pPr>
        <w:spacing w:after="60" w:line="312"/>
        <w:ind w:firstLine="480"/>
        <w:jc w:val="both"/>
      </w:pPr>
      <w:r>
        <w:rPr>
          <w:rFonts w:ascii="Times New Roman" w:eastAsia="SimSun"/>
          <w:color w:val="182030"/>
          <w:sz w:val="24"/>
          <w:szCs w:val="24"/>
        </w:rPr>
        <w:t xml:space="preserve">The eight sprints are grouped into six project phases that map to the standard software delivery lifecycle. The Initiate phase (Sprint 0) establishes the engagement foundation with charter, governance, and environment strategy. The Discover phase (Sprint 1) captures requirements through stakeholder engagement, persona development, and baseline measurement. The Design phase (Sprint 2) produces the full architecture and design artefacts required for sign-off. The Build phase (Sprints 3, 4, and 5) is the longest phase at ten weeks and delivers the foundation, capture AI, and review/sync governance components. The Validate phase (Sprint 6) exercises the platform through UAT, integration testing, and pilot preparation. The Deploy phase (Sprint 7) takes the platform live in Wave 1 countries and operates the hypercare period through engagement close.</w:t>
      </w:r>
    </w:p>
    <w:p>
      <w:pPr>
        <w:spacing w:after="60" w:line="312"/>
        <w:ind w:firstLine="480"/>
        <w:jc w:val="both"/>
      </w:pPr>
      <w:r>
        <w:rPr>
          <w:rFonts w:ascii="Times New Roman" w:eastAsia="SimSun"/>
          <w:color w:val="182030"/>
          <w:sz w:val="24"/>
          <w:szCs w:val="24"/>
        </w:rPr>
        <w:t xml:space="preserve">Each phase concludes with a formal acceptance gate that triggers a milestone payment. The acceptance gates are designed to be unambiguous: M1 requires charter sign-off and RTM approval; M2 requires BRD and PRD sign-off; M3 requires SRS, FRS, and solution architecture sign-off; M4 requires foundation build deployed to staging with CI/CD green and DevSecOps review passed; M5 requires capture and AI draft beta in UAT hands; M6 requires review/sync governance beta live with Salesforce sandbox integration verified; M7 requires UAT sign-off and pilot runbook accepted; M8 requires Wave 1 live in production with hypercare closed and pilot KPI validation report accepted.</w:t>
      </w:r>
    </w:p>
    <w:p>
      <w:pPr>
        <w:pStyle w:val="Heading1"/>
        <w:spacing w:after="120" w:before="360" w:line="312"/>
      </w:pPr>
      <w:bookmarkStart w:id="100023" w:name="_Toc100023"/>
      <w:r>
        <w:rPr>
          <w:rFonts w:ascii="Times New Roman" w:eastAsia="SimHei"/>
          <w:b/>
          <w:bCs/>
          <w:color w:val="182030"/>
          <w:sz w:val="32"/>
          <w:szCs w:val="32"/>
        </w:rPr>
        <w:t xml:space="preserve">6. Payment Milestones</w:t>
      </w:r>
      <w:bookmarkEnd w:id="100023"/>
    </w:p>
    <w:p>
      <w:pPr>
        <w:pStyle w:val="Heading2"/>
        <w:spacing w:after="100" w:before="280" w:line="312"/>
      </w:pPr>
      <w:bookmarkStart w:id="100024" w:name="_Toc100024"/>
      <w:r>
        <w:rPr>
          <w:rFonts w:ascii="Times New Roman" w:eastAsia="SimHei"/>
          <w:b/>
          <w:bCs/>
          <w:color w:val="182030"/>
          <w:sz w:val="30"/>
          <w:szCs w:val="30"/>
        </w:rPr>
        <w:t xml:space="preserve">6.1 Billing Schedule</w:t>
      </w:r>
      <w:bookmarkEnd w:id="100024"/>
    </w:p>
    <w:p>
      <w:pPr>
        <w:spacing w:after="60" w:line="312"/>
        <w:ind w:firstLine="480"/>
        <w:jc w:val="both"/>
      </w:pPr>
      <w:r>
        <w:rPr>
          <w:rFonts w:ascii="Times New Roman" w:eastAsia="SimSun"/>
          <w:color w:val="182030"/>
          <w:sz w:val="24"/>
          <w:szCs w:val="24"/>
        </w:rPr>
        <w:t xml:space="preserve">The engagement is billed through eight milestone payments tied to sprint acceptance. The milestone weighting is structured to balance vendor cash-flow needs against client risk management: the largest milestone (twenty percent) sits at the Architecture and Design Sign-off, which is the point at which the engagement has demonstrated full design viability and committed to a specific build plan. Earlier milestones are smaller (ten and fifteen percent) reflecting lower risk exposure, while later milestones return to ten percent each as the platform moves through validation into deployment. The total of all milestones equals the grand total engagement value of six hundred thirty-six thousand seven hundred sixty-eight dollars, inclusive of the eight percent risk reserve.</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gridCol w:w="100"/>
      </w:tblGrid>
      <w:tr>
        <w:trPr>
          <w:tblHeader/>
        </w:trPr>
        <w:tc>
          <w:tcPr>
            <w:tcW w:type="dxa" w:w="6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ID</w:t>
            </w:r>
          </w:p>
        </w:tc>
        <w:tc>
          <w:tcPr>
            <w:tcW w:type="dxa" w:w="3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Milestone</w:t>
            </w:r>
          </w:p>
        </w:tc>
        <w:tc>
          <w:tcPr>
            <w:tcW w:type="dxa" w:w="9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Sprint</w:t>
            </w:r>
          </w:p>
        </w:tc>
        <w:tc>
          <w:tcPr>
            <w:tcW w:type="dxa" w:w="13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 of Total</w:t>
            </w:r>
          </w:p>
        </w:tc>
        <w:tc>
          <w:tcPr>
            <w:tcW w:type="dxa" w:w="1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Invoice Date</w:t>
            </w:r>
          </w:p>
        </w:tc>
        <w:tc>
          <w:tcPr>
            <w:tcW w:type="dxa" w:w="17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Amount (USD)</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M1</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Mobilization &amp; Charter Sign-off</w:t>
            </w:r>
          </w:p>
        </w:tc>
        <w:tc>
          <w:tcPr>
            <w:tcW w:type="dxa" w:w="9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S0</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2026-01-23</w:t>
            </w:r>
          </w:p>
        </w:tc>
        <w:tc>
          <w:tcPr>
            <w:tcW w:type="dxa" w:w="1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$63,677</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M2</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Discovery &amp; Requirements Sign-off</w:t>
            </w:r>
          </w:p>
        </w:tc>
        <w:tc>
          <w:tcPr>
            <w:tcW w:type="dxa" w:w="9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S1</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15.0%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2026-02-20</w:t>
            </w:r>
          </w:p>
        </w:tc>
        <w:tc>
          <w:tcPr>
            <w:tcW w:type="dxa" w:w="1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$95,515</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M3</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Architecture &amp; Design Sign-off</w:t>
            </w:r>
          </w:p>
        </w:tc>
        <w:tc>
          <w:tcPr>
            <w:tcW w:type="dxa" w:w="9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S2</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2026-03-20</w:t>
            </w:r>
          </w:p>
        </w:tc>
        <w:tc>
          <w:tcPr>
            <w:tcW w:type="dxa" w:w="1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$127,354</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M4</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Foundation Build Complete</w:t>
            </w:r>
          </w:p>
        </w:tc>
        <w:tc>
          <w:tcPr>
            <w:tcW w:type="dxa" w:w="9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S3</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2026-04-10</w:t>
            </w:r>
          </w:p>
        </w:tc>
        <w:tc>
          <w:tcPr>
            <w:tcW w:type="dxa" w:w="1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$63,677</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M5</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Capture &amp; AI Draft Beta</w:t>
            </w:r>
          </w:p>
        </w:tc>
        <w:tc>
          <w:tcPr>
            <w:tcW w:type="dxa" w:w="9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S4</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15.0%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2026-05-08</w:t>
            </w:r>
          </w:p>
        </w:tc>
        <w:tc>
          <w:tcPr>
            <w:tcW w:type="dxa" w:w="1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$95,515</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M6</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Review &amp; Sync Governance Beta</w:t>
            </w:r>
          </w:p>
        </w:tc>
        <w:tc>
          <w:tcPr>
            <w:tcW w:type="dxa" w:w="9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S5</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2026-05-29</w:t>
            </w:r>
          </w:p>
        </w:tc>
        <w:tc>
          <w:tcPr>
            <w:tcW w:type="dxa" w:w="1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$63,677</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M7</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UAT Sign-off &amp; Pilot Readiness</w:t>
            </w:r>
          </w:p>
        </w:tc>
        <w:tc>
          <w:tcPr>
            <w:tcW w:type="dxa" w:w="9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S6</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2026-06-26</w:t>
            </w:r>
          </w:p>
        </w:tc>
        <w:tc>
          <w:tcPr>
            <w:tcW w:type="dxa" w:w="1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$63,677</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M8</w:t>
            </w:r>
          </w:p>
        </w:tc>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Rollout Wave 1 Live &amp; Hypercare End</w:t>
            </w:r>
          </w:p>
        </w:tc>
        <w:tc>
          <w:tcPr>
            <w:tcW w:type="dxa" w:w="9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S7</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10.0%</w:t>
            </w:r>
          </w:p>
        </w:tc>
        <w:tc>
          <w:tcPr>
            <w:tcW w:type="dxa" w:w="15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2026-07-24</w:t>
            </w:r>
          </w:p>
        </w:tc>
        <w:tc>
          <w:tcPr>
            <w:tcW w:type="dxa" w:w="17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$63,677</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TOTAL</w:t>
            </w:r>
          </w:p>
        </w:tc>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All milestones</w:t>
            </w:r>
          </w:p>
        </w:tc>
        <w:tc>
          <w:tcPr>
            <w:tcW w:type="dxa" w:w="9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S0–S7</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100.0%</w:t>
            </w:r>
          </w:p>
        </w:tc>
        <w:tc>
          <w:tcPr>
            <w:tcW w:type="dxa" w:w="15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w:t>
            </w:r>
          </w:p>
        </w:tc>
        <w:tc>
          <w:tcPr>
            <w:tcW w:type="dxa" w:w="17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$636,768</w:t>
            </w:r>
          </w:p>
        </w:tc>
      </w:tr>
    </w:tbl>
    <w:p>
      <w:pPr>
        <w:pStyle w:val="Heading2"/>
        <w:spacing w:after="100" w:before="280" w:line="312"/>
      </w:pPr>
      <w:bookmarkStart w:id="100025" w:name="_Toc100025"/>
      <w:r>
        <w:rPr>
          <w:rFonts w:ascii="Times New Roman" w:eastAsia="SimHei"/>
          <w:b/>
          <w:bCs/>
          <w:color w:val="182030"/>
          <w:sz w:val="30"/>
          <w:szCs w:val="30"/>
        </w:rPr>
        <w:t xml:space="preserve">6.2 Payment Terms</w:t>
      </w:r>
      <w:bookmarkEnd w:id="100025"/>
    </w:p>
    <w:p>
      <w:pPr>
        <w:spacing w:after="60" w:line="312"/>
        <w:ind w:firstLine="480"/>
        <w:jc w:val="both"/>
      </w:pPr>
      <w:r>
        <w:rPr>
          <w:rFonts w:ascii="Times New Roman" w:eastAsia="SimSun"/>
          <w:color w:val="182030"/>
          <w:sz w:val="24"/>
          <w:szCs w:val="24"/>
        </w:rPr>
        <w:t xml:space="preserve">All invoices are denominated in United States dollars and payable net fifteen days from milestone acceptance. The acceptance window is ten business days from delivery notification; silent acceptance applies if no written rejection is received within the window. Fifty percent of milestone M1 is invoiced as an advance on contract execution, with the balance due on M1 acceptance. A ten percent withholding is retained from each milestone and released on M8 acceptance at Wave 1 go-live, providing the client with a contractual retention pool against any post-launch defects. Scope changes exceeding five percent of remaining budget require Change Control Board approval and are billed as change orders outside the base milestone structure. Late payments beyond thirty days incur a finance charge of one and one-half percent per month.</w:t>
      </w:r>
    </w:p>
    <w:p>
      <w:pPr>
        <w:pStyle w:val="Heading1"/>
        <w:spacing w:after="120" w:before="360" w:line="312"/>
      </w:pPr>
      <w:bookmarkStart w:id="100026" w:name="_Toc100026"/>
      <w:r>
        <w:rPr>
          <w:rFonts w:ascii="Times New Roman" w:eastAsia="SimHei"/>
          <w:b/>
          <w:bCs/>
          <w:color w:val="182030"/>
          <w:sz w:val="32"/>
          <w:szCs w:val="32"/>
        </w:rPr>
        <w:t xml:space="preserve">7. Risk &amp; Contingency</w:t>
      </w:r>
      <w:bookmarkEnd w:id="100026"/>
    </w:p>
    <w:p>
      <w:pPr>
        <w:pStyle w:val="Heading2"/>
        <w:spacing w:after="100" w:before="280" w:line="312"/>
      </w:pPr>
      <w:bookmarkStart w:id="100027" w:name="_Toc100027"/>
      <w:r>
        <w:rPr>
          <w:rFonts w:ascii="Times New Roman" w:eastAsia="SimHei"/>
          <w:b/>
          <w:bCs/>
          <w:color w:val="182030"/>
          <w:sz w:val="30"/>
          <w:szCs w:val="30"/>
        </w:rPr>
        <w:t xml:space="preserve">7.1 Risk Register</w:t>
      </w:r>
      <w:bookmarkEnd w:id="100027"/>
    </w:p>
    <w:p>
      <w:pPr>
        <w:spacing w:after="60" w:line="312"/>
        <w:ind w:firstLine="480"/>
        <w:jc w:val="both"/>
      </w:pPr>
      <w:r>
        <w:rPr>
          <w:rFonts w:ascii="Times New Roman" w:eastAsia="SimSun"/>
          <w:color w:val="182030"/>
          <w:sz w:val="24"/>
          <w:szCs w:val="24"/>
        </w:rPr>
        <w:t xml:space="preserve">Seven risk items have been identified and quantified, with a total allocated reserve of thirty-seven thousand dollars against the eight-percent contingency pool of forty-seven thousand one hundred sixty-eight dollars. The remaining ten thousand one hundred sixty-eight dollars is held as an unallocated buffer requiring sponsor approval to draw. Each risk item has an explicit mitigation activity embedded in the base sprint plan, ensuring that risks are addressed proactively rather than reactively. The reserve is drawn only when a risk materialises and the mitigation activity proves insufficient, with all drawdowns subject to written sponsor approval.</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gridCol w:w="100"/>
        <w:gridCol w:w="100"/>
      </w:tblGrid>
      <w:tr>
        <w:trPr>
          <w:tblHeader/>
        </w:trPr>
        <w:tc>
          <w:tcPr>
            <w:tcW w:type="dxa" w:w="6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ID</w:t>
            </w:r>
          </w:p>
        </w:tc>
        <w:tc>
          <w:tcPr>
            <w:tcW w:type="dxa" w:w="42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Risk</w:t>
            </w:r>
          </w:p>
        </w:tc>
        <w:tc>
          <w:tcPr>
            <w:tcW w:type="dxa" w:w="12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Likelihood</w:t>
            </w:r>
          </w:p>
        </w:tc>
        <w:tc>
          <w:tcPr>
            <w:tcW w:type="dxa" w:w="11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Impact</w:t>
            </w:r>
          </w:p>
        </w:tc>
        <w:tc>
          <w:tcPr>
            <w:tcW w:type="dxa" w:w="13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Reserve</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R1</w:t>
            </w:r>
          </w:p>
        </w:tc>
        <w:tc>
          <w:tcPr>
            <w:tcW w:type="dxa" w:w="42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AI transcription accuracy below target in noisy field conditions</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Medium</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High</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$8,500</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R2</w:t>
            </w:r>
          </w:p>
        </w:tc>
        <w:tc>
          <w:tcPr>
            <w:tcW w:type="dxa" w:w="42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Salesforce API rate limits during peak sync</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Low</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Medium</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$3,500</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R3</w:t>
            </w:r>
          </w:p>
        </w:tc>
        <w:tc>
          <w:tcPr>
            <w:tcW w:type="dxa" w:w="42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Country regulatory change requiring data residency</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Low</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High</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$6,500</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R4</w:t>
            </w:r>
          </w:p>
        </w:tc>
        <w:tc>
          <w:tcPr>
            <w:tcW w:type="dxa" w:w="42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Stakeholder availability for UAT delays schedule</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Medium</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Medium</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$4,500</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R5</w:t>
            </w:r>
          </w:p>
        </w:tc>
        <w:tc>
          <w:tcPr>
            <w:tcW w:type="dxa" w:w="42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LLM provider pricing change mid-engagement</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Medium</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Low</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$2,500</w:t>
            </w:r>
          </w:p>
        </w:tc>
      </w:tr>
      <w:tr>
        <w:trPr>
          <w:cantSplit/>
        </w:trPr>
        <w:tc>
          <w:tcPr>
            <w:tcW w:type="dxa" w:w="6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R6</w:t>
            </w:r>
          </w:p>
        </w:tc>
        <w:tc>
          <w:tcPr>
            <w:tcW w:type="dxa" w:w="42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Field connectivity issues block offline capture testing</w:t>
            </w:r>
          </w:p>
        </w:tc>
        <w:tc>
          <w:tcPr>
            <w:tcW w:type="dxa" w:w="12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Medium</w:t>
            </w:r>
          </w:p>
        </w:tc>
        <w:tc>
          <w:tcPr>
            <w:tcW w:type="dxa" w:w="11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Medium</w:t>
            </w:r>
          </w:p>
        </w:tc>
        <w:tc>
          <w:tcPr>
            <w:tcW w:type="dxa" w:w="13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$4,000</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R7</w:t>
            </w:r>
          </w:p>
        </w:tc>
        <w:tc>
          <w:tcPr>
            <w:tcW w:type="dxa" w:w="42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Scope expansion for additional country in Wave 1</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Low</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High</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$7,500</w:t>
            </w:r>
          </w:p>
        </w:tc>
      </w:tr>
      <w:tr>
        <w:trPr>
          <w:cantSplit/>
        </w:trPr>
        <w:tc>
          <w:tcPr>
            <w:tcW w:type="dxa" w:w="6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TOTAL</w:t>
            </w:r>
          </w:p>
        </w:tc>
        <w:tc>
          <w:tcPr>
            <w:tcW w:type="dxa" w:w="42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Allocated against R1–R7</w:t>
            </w:r>
          </w:p>
        </w:tc>
        <w:tc>
          <w:tcPr>
            <w:tcW w:type="dxa" w:w="12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w:t>
            </w:r>
          </w:p>
        </w:tc>
        <w:tc>
          <w:tcPr>
            <w:tcW w:type="dxa" w:w="11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w:t>
            </w:r>
          </w:p>
        </w:tc>
        <w:tc>
          <w:tcPr>
            <w:tcW w:type="dxa" w:w="13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$37,000</w:t>
            </w:r>
          </w:p>
        </w:tc>
      </w:tr>
    </w:tbl>
    <w:p>
      <w:pPr>
        <w:pStyle w:val="Heading2"/>
        <w:spacing w:after="100" w:before="280" w:line="312"/>
      </w:pPr>
      <w:bookmarkStart w:id="100028" w:name="_Toc100028"/>
      <w:r>
        <w:rPr>
          <w:rFonts w:ascii="Times New Roman" w:eastAsia="SimHei"/>
          <w:b/>
          <w:bCs/>
          <w:color w:val="182030"/>
          <w:sz w:val="30"/>
          <w:szCs w:val="30"/>
        </w:rPr>
        <w:t xml:space="preserve">7.2 Scenario Analysis</w:t>
      </w:r>
      <w:bookmarkEnd w:id="100028"/>
    </w:p>
    <w:p>
      <w:pPr>
        <w:spacing w:after="60" w:line="312"/>
        <w:ind w:firstLine="480"/>
        <w:jc w:val="both"/>
      </w:pPr>
      <w:r>
        <w:rPr>
          <w:rFonts w:ascii="Times New Roman" w:eastAsia="SimSun"/>
          <w:color w:val="182030"/>
          <w:sz w:val="24"/>
          <w:szCs w:val="24"/>
        </w:rPr>
        <w:t xml:space="preserve">Three cost-outturn scenarios have been modelled to bracket the likely range of total engagement cost. The Best Case scenario assumes none of the seven risks materialise and the full reserve is released back to the client, yielding a total cost equal to the base budget of five hundred eighty-nine thousand six hundred dollars. The Base Case assumes approximately fifty percent of the reserve is drawn against a subset of risks (R1, R4, and R6 partial draw), yielding a total cost of approximately six hundred thirteen thousand dollars. The Worst Case assumes all reserve is drawn plus a five percent scope change order for an additional country, yielding a total cost of approximately six hundred sixty-six thousand dollars. The Worst Case scenario is considered low probability given the explicit mitigation activities and the strict Change Control Board governance applied throughout the engagement.</w:t>
      </w:r>
    </w:p>
    <w:p>
      <w:pPr>
        <w:pStyle w:val="Heading1"/>
        <w:spacing w:after="120" w:before="360" w:line="312"/>
      </w:pPr>
      <w:bookmarkStart w:id="100029" w:name="_Toc100029"/>
      <w:r>
        <w:rPr>
          <w:rFonts w:ascii="Times New Roman" w:eastAsia="SimHei"/>
          <w:b/>
          <w:bCs/>
          <w:color w:val="182030"/>
          <w:sz w:val="32"/>
          <w:szCs w:val="32"/>
        </w:rPr>
        <w:t xml:space="preserve">8. Assumptions &amp; Exclusions</w:t>
      </w:r>
      <w:bookmarkEnd w:id="100029"/>
    </w:p>
    <w:p>
      <w:pPr>
        <w:pStyle w:val="Heading2"/>
        <w:spacing w:after="100" w:before="280" w:line="312"/>
      </w:pPr>
      <w:bookmarkStart w:id="100030" w:name="_Toc100030"/>
      <w:r>
        <w:rPr>
          <w:rFonts w:ascii="Times New Roman" w:eastAsia="SimHei"/>
          <w:b/>
          <w:bCs/>
          <w:color w:val="182030"/>
          <w:sz w:val="30"/>
          <w:szCs w:val="30"/>
        </w:rPr>
        <w:t xml:space="preserve">8.1 Pricing Basis</w:t>
      </w:r>
      <w:bookmarkEnd w:id="100030"/>
    </w:p>
    <w:p>
      <w:pPr>
        <w:spacing w:after="60" w:line="312"/>
        <w:ind w:firstLine="480"/>
        <w:jc w:val="both"/>
      </w:pPr>
      <w:r>
        <w:rPr>
          <w:rFonts w:ascii="Times New Roman" w:eastAsia="SimSun"/>
          <w:color w:val="182030"/>
          <w:sz w:val="24"/>
          <w:szCs w:val="24"/>
        </w:rPr>
        <w:t xml:space="preserve">All amounts in this document are expressed in United States dollars. No foreign exchange conversion is required as the billing currency matches the budget currency. Day rates are fully-loaded blended rates inclusive of salary, benefits, paid time off, and overhead allocation, and are applied uniformly across all sprints without escalation. The estimate is built bottom-up using man-day projections multiplied by role-specific rates and adding direct vendor costs. A formal re-forecast is performed at the end of each sprint and shared with the client as part of the sprint review pack.</w:t>
      </w:r>
    </w:p>
    <w:p>
      <w:pPr>
        <w:pStyle w:val="Heading2"/>
        <w:spacing w:after="100" w:before="280" w:line="312"/>
      </w:pPr>
      <w:bookmarkStart w:id="100031" w:name="_Toc100031"/>
      <w:r>
        <w:rPr>
          <w:rFonts w:ascii="Times New Roman" w:eastAsia="SimHei"/>
          <w:b/>
          <w:bCs/>
          <w:color w:val="182030"/>
          <w:sz w:val="30"/>
          <w:szCs w:val="30"/>
        </w:rPr>
        <w:t xml:space="preserve">8.2 Inclusions</w:t>
      </w:r>
      <w:bookmarkEnd w:id="100031"/>
    </w:p>
    <w:p>
      <w:pPr>
        <w:spacing w:after="60" w:line="312"/>
        <w:ind w:firstLine="480"/>
        <w:jc w:val="both"/>
      </w:pPr>
      <w:r>
        <w:rPr>
          <w:rFonts w:ascii="Times New Roman" w:eastAsia="SimSun"/>
          <w:color w:val="182030"/>
          <w:sz w:val="24"/>
          <w:szCs w:val="24"/>
        </w:rPr>
        <w:t xml:space="preserve">The base budget includes all personnel, cloud infrastructure, third-party APIs, development tooling, and field operations required to take the Aceli LAT platform from mobilization through Wave 1 rollout and hypercare. Specifically included are: all engineering, design, project management, QA, and training effort; Neon PostgreSQL hosting, Vercel Pro hosting, and Cloudflare R2 object storage; OpenAI and Anthropic LLM API consumption for development and pilot; Salesforce Enterprise API quota for development and pilot; GitHub, Linear, Sentry, Figma, Notion, and Datadog tooling licenses; field travel for stakeholder workshops, UAT facilitation, and Wave 1 rollout support; and a thirty-day hypercare period following Wave 1 go-live.</w:t>
      </w:r>
    </w:p>
    <w:p>
      <w:pPr>
        <w:pStyle w:val="Heading2"/>
        <w:spacing w:after="100" w:before="280" w:line="312"/>
      </w:pPr>
      <w:bookmarkStart w:id="100032" w:name="_Toc100032"/>
      <w:r>
        <w:rPr>
          <w:rFonts w:ascii="Times New Roman" w:eastAsia="SimHei"/>
          <w:b/>
          <w:bCs/>
          <w:color w:val="182030"/>
          <w:sz w:val="30"/>
          <w:szCs w:val="30"/>
        </w:rPr>
        <w:t xml:space="preserve">8.3 Exclusions</w:t>
      </w:r>
      <w:bookmarkEnd w:id="100032"/>
    </w:p>
    <w:p>
      <w:pPr>
        <w:spacing w:after="60" w:line="312"/>
        <w:ind w:firstLine="480"/>
        <w:jc w:val="both"/>
      </w:pPr>
      <w:r>
        <w:rPr>
          <w:rFonts w:ascii="Times New Roman" w:eastAsia="SimSun"/>
          <w:color w:val="182030"/>
          <w:sz w:val="24"/>
          <w:szCs w:val="24"/>
        </w:rPr>
        <w:t xml:space="preserve">The base budget excludes: Aceli Africa staff time including the Aceli project sponsor, country directors, and working group members who participate in requirements, UAT, and rollout activities; Salesforce licenses for production use beyond the development sandbox; end-user device procurement including phones, tablets, and laptops for field workers; in-country regulatory filing fees or government approvals required for data processing; extended support beyond the thirty-day hypercare period; and Wave 2 country rollout which is explicitly out of scope and would be contracted separately as a follow-on engagement.</w:t>
      </w:r>
    </w:p>
    <w:p>
      <w:pPr>
        <w:pStyle w:val="Heading2"/>
        <w:spacing w:after="100" w:before="280" w:line="312"/>
      </w:pPr>
      <w:bookmarkStart w:id="100033" w:name="_Toc100033"/>
      <w:r>
        <w:rPr>
          <w:rFonts w:ascii="Times New Roman" w:eastAsia="SimHei"/>
          <w:b/>
          <w:bCs/>
          <w:color w:val="182030"/>
          <w:sz w:val="30"/>
          <w:szCs w:val="30"/>
        </w:rPr>
        <w:t xml:space="preserve">8.4 Change Control</w:t>
      </w:r>
      <w:bookmarkEnd w:id="100033"/>
    </w:p>
    <w:p>
      <w:pPr>
        <w:spacing w:after="60" w:line="312"/>
        <w:ind w:firstLine="480"/>
        <w:jc w:val="both"/>
      </w:pPr>
      <w:r>
        <w:rPr>
          <w:rFonts w:ascii="Times New Roman" w:eastAsia="SimSun"/>
          <w:color w:val="182030"/>
          <w:sz w:val="24"/>
          <w:szCs w:val="24"/>
        </w:rPr>
        <w:t xml:space="preserve">Scope changes exceeding five percent of remaining budget require Change Control Board approval prior to execution. The Change Control Board comprises the Aceli project sponsor, the Aceli programme director, and the Z.ai Delivery delivery lead, and convenes within five business days of any change request submission. Approved changes are billed as change orders outside the base milestone structure and may draw on the unallocated risk reserve buffer if the change is determined to be the realisation of an identified risk. Wave 2 country additions are explicitly out of scope for this engagement and will be contracted as a separate follow-on engagement with its own statement of work.</w:t>
      </w:r>
    </w:p>
    <w:p>
      <w:pPr>
        <w:pStyle w:val="Heading2"/>
        <w:spacing w:after="100" w:before="280" w:line="312"/>
      </w:pPr>
      <w:bookmarkStart w:id="100034" w:name="_Toc100034"/>
      <w:r>
        <w:rPr>
          <w:rFonts w:ascii="Times New Roman" w:eastAsia="SimHei"/>
          <w:b/>
          <w:bCs/>
          <w:color w:val="182030"/>
          <w:sz w:val="30"/>
          <w:szCs w:val="30"/>
        </w:rPr>
        <w:t xml:space="preserve">8.5 Acceptance &amp; Sign-off</w:t>
      </w:r>
      <w:bookmarkEnd w:id="100034"/>
    </w:p>
    <w:p>
      <w:pPr>
        <w:spacing w:after="60" w:line="312"/>
        <w:ind w:firstLine="480"/>
        <w:jc w:val="both"/>
      </w:pPr>
      <w:r>
        <w:rPr>
          <w:rFonts w:ascii="Times New Roman" w:eastAsia="SimSun"/>
          <w:color w:val="182030"/>
          <w:sz w:val="24"/>
          <w:szCs w:val="24"/>
        </w:rPr>
        <w:t xml:space="preserve">This budget, timeline, and costing document is submitted for acceptance by Aceli Africa. Acceptance constitutes agreement to the milestone billing schedule, the risk reserve mechanism, the change control process, and the inclusions and exclusions defined above. Upon acceptance, the engagement will commence on the agreed start date with the mobilization sprint (Sprint 0) and the advance invoice for milestone M1 will be issued. The signature block below records formal acceptance by both parties.</w:t>
      </w:r>
    </w:p>
    <w:tbl>
      <w:tblPr>
        <w:tblW w:type="pct" w:w="100%"/>
        <w:tblBorders>
          <w:top w:val="single" w:color="DDD0C8" w:sz="1"/>
          <w:left w:val="single" w:color="DDD0C8" w:sz="1"/>
          <w:bottom w:val="single" w:color="DDD0C8" w:sz="1"/>
          <w:right w:val="single" w:color="DDD0C8" w:sz="1"/>
          <w:insideH w:val="single" w:color="DDD0C8" w:sz="1"/>
          <w:insideV w:val="single" w:color="DDD0C8" w:sz="1"/>
        </w:tblBorders>
      </w:tblPr>
      <w:tblGrid>
        <w:gridCol w:w="100"/>
        <w:gridCol w:w="100"/>
        <w:gridCol w:w="100"/>
      </w:tblGrid>
      <w:tr>
        <w:trPr>
          <w:tblHeader/>
        </w:trPr>
        <w:tc>
          <w:tcPr>
            <w:tcW w:type="dxa" w:w="3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Role</w:t>
            </w:r>
          </w:p>
        </w:tc>
        <w:tc>
          <w:tcPr>
            <w:tcW w:type="dxa" w:w="45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Name &amp; Signature</w:t>
            </w:r>
          </w:p>
        </w:tc>
        <w:tc>
          <w:tcPr>
            <w:tcW w:type="dxa" w:w="2000"/>
            <w:tcBorders>
              <w:top w:val="single" w:color="DDD0C8" w:sz="1"/>
              <w:left w:val="single" w:color="DDD0C8" w:sz="1"/>
              <w:bottom w:val="single" w:color="DDD0C8" w:sz="1"/>
              <w:right w:val="single" w:color="DDD0C8" w:sz="1"/>
            </w:tcBorders>
            <w:shd w:fill="D4875A" w:val="clear"/>
          </w:tcPr>
          <w:p>
            <w:pPr>
              <w:spacing w:after="40" w:before="40"/>
              <w:jc w:val="center"/>
            </w:pPr>
            <w:r>
              <w:rPr>
                <w:rFonts w:ascii="Times New Roman" w:eastAsia="SimHei"/>
                <w:b/>
                <w:bCs/>
                <w:color w:val="FFFFFF"/>
                <w:sz w:val="22"/>
                <w:szCs w:val="22"/>
              </w:rPr>
              <w:t xml:space="preserve">Date</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Prepared by (Vendor)</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Z.ai Delivery — Aceli LAT Pod</w:t>
            </w:r>
          </w:p>
        </w:tc>
        <w:tc>
          <w:tcPr>
            <w:tcW w:type="dxa" w:w="20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2026-06-18</w:t>
            </w:r>
          </w:p>
        </w:tc>
      </w:tr>
      <w:tr>
        <w:trPr>
          <w:cantSplit/>
        </w:trPr>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Reviewed by</w:t>
            </w:r>
          </w:p>
        </w:tc>
        <w:tc>
          <w:tcPr>
            <w:tcW w:type="dxa" w:w="4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____________________________________</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____________</w:t>
            </w:r>
          </w:p>
        </w:tc>
      </w:tr>
      <w:tr>
        <w:trPr>
          <w:cantSplit/>
        </w:trPr>
        <w:tc>
          <w:tcPr>
            <w:tcW w:type="dxa" w:w="3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Approved by (Client)</w:t>
            </w:r>
          </w:p>
        </w:tc>
        <w:tc>
          <w:tcPr>
            <w:tcW w:type="dxa" w:w="4500"/>
            <w:tcBorders>
              <w:top w:val="single" w:color="DDD0C8" w:sz="1"/>
              <w:left w:val="single" w:color="DDD0C8" w:sz="1"/>
              <w:bottom w:val="single" w:color="DDD0C8" w:sz="1"/>
              <w:right w:val="single" w:color="DDD0C8" w:sz="1"/>
            </w:tcBorders>
          </w:tcPr>
          <w:p>
            <w:pPr>
              <w:spacing w:after="30" w:before="30"/>
              <w:jc w:val="left"/>
            </w:pPr>
            <w:r>
              <w:rPr>
                <w:rFonts w:ascii="Times New Roman" w:eastAsia="SimSun"/>
                <w:color w:val="182030"/>
                <w:sz w:val="20"/>
                <w:szCs w:val="20"/>
              </w:rPr>
              <w:t xml:space="preserve">____________________________________</w:t>
            </w:r>
          </w:p>
        </w:tc>
        <w:tc>
          <w:tcPr>
            <w:tcW w:type="dxa" w:w="2000"/>
            <w:tcBorders>
              <w:top w:val="single" w:color="DDD0C8" w:sz="1"/>
              <w:left w:val="single" w:color="DDD0C8" w:sz="1"/>
              <w:bottom w:val="single" w:color="DDD0C8" w:sz="1"/>
              <w:right w:val="single" w:color="DDD0C8" w:sz="1"/>
            </w:tcBorders>
          </w:tcPr>
          <w:p>
            <w:pPr>
              <w:spacing w:after="30" w:before="30"/>
              <w:jc w:val="center"/>
            </w:pPr>
            <w:r>
              <w:rPr>
                <w:rFonts w:ascii="Times New Roman" w:eastAsia="SimSun"/>
                <w:color w:val="182030"/>
                <w:sz w:val="20"/>
                <w:szCs w:val="20"/>
              </w:rPr>
              <w:t xml:space="preserve">____________</w:t>
            </w:r>
          </w:p>
        </w:tc>
      </w:tr>
      <w:tr>
        <w:trPr>
          <w:cantSplit/>
        </w:trPr>
        <w:tc>
          <w:tcPr>
            <w:tcW w:type="dxa" w:w="3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Approved by (Vendor)</w:t>
            </w:r>
          </w:p>
        </w:tc>
        <w:tc>
          <w:tcPr>
            <w:tcW w:type="dxa" w:w="4500"/>
            <w:tcBorders>
              <w:top w:val="single" w:color="DDD0C8" w:sz="1"/>
              <w:left w:val="single" w:color="DDD0C8" w:sz="1"/>
              <w:bottom w:val="single" w:color="DDD0C8" w:sz="1"/>
              <w:right w:val="single" w:color="DDD0C8" w:sz="1"/>
            </w:tcBorders>
            <w:shd w:fill="F8F0EB" w:val="clear"/>
          </w:tcPr>
          <w:p>
            <w:pPr>
              <w:spacing w:after="30" w:before="30"/>
              <w:jc w:val="left"/>
            </w:pPr>
            <w:r>
              <w:rPr>
                <w:rFonts w:ascii="Times New Roman" w:eastAsia="SimSun"/>
                <w:color w:val="182030"/>
                <w:sz w:val="20"/>
                <w:szCs w:val="20"/>
              </w:rPr>
              <w:t xml:space="preserve">____________________________________</w:t>
            </w:r>
          </w:p>
        </w:tc>
        <w:tc>
          <w:tcPr>
            <w:tcW w:type="dxa" w:w="2000"/>
            <w:tcBorders>
              <w:top w:val="single" w:color="DDD0C8" w:sz="1"/>
              <w:left w:val="single" w:color="DDD0C8" w:sz="1"/>
              <w:bottom w:val="single" w:color="DDD0C8" w:sz="1"/>
              <w:right w:val="single" w:color="DDD0C8" w:sz="1"/>
            </w:tcBorders>
            <w:shd w:fill="F8F0EB" w:val="clear"/>
          </w:tcPr>
          <w:p>
            <w:pPr>
              <w:spacing w:after="30" w:before="30"/>
              <w:jc w:val="center"/>
            </w:pPr>
            <w:r>
              <w:rPr>
                <w:rFonts w:ascii="Times New Roman" w:eastAsia="SimSun"/>
                <w:color w:val="182030"/>
                <w:sz w:val="20"/>
                <w:szCs w:val="20"/>
              </w:rPr>
              <w:t xml:space="preserve">____________</w:t>
            </w:r>
          </w:p>
        </w:tc>
      </w:tr>
    </w:tbl>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SimHei"/>
        <w:color w:val="808080"/>
        <w:sz w:val="18"/>
        <w:szCs w:val="18"/>
      </w:rPr>
      <w:t xml:space="preserve">Aceli LAT — Master Budget, Timeline &amp; Costing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SimHei"/>
        <w:color w:val="808080"/>
        <w:sz w:val="18"/>
        <w:szCs w:val="18"/>
      </w:rPr>
      <w:t xml:space="preserve">Aceli LAT — Master Budget, Timeline &amp; Costing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eastAsia="SimHei"/>
      <w:b/>
      <w:bCs/>
      <w:color w:val="182030"/>
      <w:sz w:val="32"/>
      <w:szCs w:val="32"/>
    </w:rPr>
  </w:style>
  <w:style w:type="paragraph" w:styleId="Heading2">
    <w:name w:val="Heading 2"/>
    <w:basedOn w:val="Normal"/>
    <w:next w:val="Normal"/>
    <w:qFormat/>
    <w:pPr>
      <w:spacing w:after="100" w:before="280"/>
      <w:outlineLvl w:val="1"/>
    </w:pPr>
    <w:rPr>
      <w:rFonts w:ascii="Times New Roman" w:eastAsia="SimHei"/>
      <w:b/>
      <w:bCs/>
      <w:color w:val="182030"/>
      <w:sz w:val="30"/>
      <w:szCs w:val="30"/>
    </w:rPr>
  </w:style>
  <w:style w:type="paragraph" w:styleId="Heading3">
    <w:name w:val="Heading 3"/>
    <w:basedOn w:val="Normal"/>
    <w:next w:val="Normal"/>
    <w:qFormat/>
    <w:pPr>
      <w:spacing w:after="80" w:before="220"/>
      <w:outlineLvl w:val="2"/>
    </w:pPr>
    <w:rPr>
      <w:rFonts w:ascii="Times New Roman" w:eastAsia="SimHei"/>
      <w:b/>
      <w:bCs/>
      <w:color w:val="182030"/>
      <w:sz w:val="28"/>
      <w:szCs w:val="28"/>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2026-06-18T12:44:42.290Z</dcterms:created>
  <dcterms:modified xsi:type="dcterms:W3CDTF">2026-06-18T12:44:42.291Z</dcterms:modified>
</cp:coreProperties>
</file>

<file path=docProps/custom.xml><?xml version="1.0" encoding="utf-8"?>
<Properties xmlns="http://schemas.openxmlformats.org/officeDocument/2006/custom-properties" xmlns:vt="http://schemas.openxmlformats.org/officeDocument/2006/docPropsVTypes"/>
</file>