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588"/>
            </w:pPr>
          </w:p>
          <w:p>
            <w:pPr>
              <w:pBdr>
                <w:bottom w:val="single" w:sz="6" w:space="8"/>
              </w:pBdr>
              <w:spacing w:after="500"/>
              <w:ind w:left="1200" w:right="800"/>
            </w:pPr>
            <w:r>
              <w:rPr>
                <w:rFonts w:ascii="Calibri" w:eastAsia="SimHei"/>
                <w:spacing w:val="40"/>
                <w:sz w:val="18"/>
                <w:szCs w:val="18"/>
              </w:rPr>
              <w:t xml:space="preserve">D  E  L  I  V  E  R  Y     C  H  A  R  T  E  R</w:t>
            </w:r>
          </w:p>
          <w:p>
            <w:pPr>
              <w:spacing w:after="100" w:line="920" w:lineRule="atLeast"/>
              <w:ind w:left="1200"/>
            </w:pPr>
            <w:r>
              <w:rPr>
                <w:rFonts w:ascii="Arial" w:eastAsia="SimHei"/>
                <w:b/>
                <w:bCs/>
                <w:color w:val="FFFFFF"/>
                <w:sz w:val="80"/>
                <w:szCs w:val="80"/>
              </w:rPr>
              <w:t xml:space="preserve">Aceli LAT</w:t>
            </w:r>
          </w:p>
          <w:p>
            <w:pPr>
              <w:spacing w:after="100" w:line="920" w:lineRule="atLeast"/>
              <w:ind w:left="1200"/>
            </w:pPr>
            <w:r>
              <w:rPr>
                <w:rFonts w:ascii="Arial" w:eastAsia="SimHei"/>
                <w:b/>
                <w:bCs/>
                <w:color w:val="FFFFFF"/>
                <w:sz w:val="80"/>
                <w:szCs w:val="80"/>
              </w:rPr>
              <w:t xml:space="preserve">Delivery</w:t>
            </w:r>
          </w:p>
          <w:p>
            <w:pPr>
              <w:spacing w:after="300" w:line="920" w:lineRule="atLeast"/>
              <w:ind w:left="1200"/>
            </w:pPr>
            <w:r>
              <w:rPr>
                <w:rFonts w:ascii="Arial" w:eastAsia="SimHei"/>
                <w:b/>
                <w:bCs/>
                <w:color w:val="FFFFFF"/>
                <w:sz w:val="80"/>
                <w:szCs w:val="80"/>
              </w:rPr>
              <w:t xml:space="preserve">Charter</w:t>
            </w:r>
          </w:p>
          <w:p>
            <w:pPr>
              <w:spacing w:after="800"/>
              <w:ind w:left="1200"/>
            </w:pPr>
            <w:r>
              <w:rPr>
                <w:rFonts w:ascii="Arial" w:eastAsia="Microsoft YaHei"/>
                <w:color w:val="B0B8C0"/>
                <w:sz w:val="24"/>
                <w:szCs w:val="24"/>
              </w:rPr>
              <w:t xml:space="preserve">Production Build Governance and Operating Model</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3588"/>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Charter Purpose and Authority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Program Scope</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Delivery Model</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Roles and Responsibilities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Quality Gates and Definition of Done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5.1 Mandatory Quality Gates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5.2 Definition of Done</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6. Governance and Escalation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6.1 Governance Levels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6.2 Escalation Model</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7. Risk Management</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8. Communication and Reporting</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9. Charter Acceptance</w:t>
            </w:r>
            <w:r>
              <w:tab/>
            </w:r>
            <w:r>
              <w:fldChar w:fldCharType="begin"/>
            </w:r>
            <w:r>
              <w:instrText xml:space="preserve"> PAGEREF _Toc100012 \h </w:instrText>
            </w:r>
            <w:r>
              <w:fldChar w:fldCharType="separate"/>
            </w:r>
            <w:r>
              <w:t>5</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Charter Purpose and Authority</w:t>
      </w:r>
      <w:bookmarkEnd w:id="100000"/>
    </w:p>
    <w:p>
      <w:pPr>
        <w:spacing w:after="80" w:line="312"/>
        <w:ind w:firstLine="480"/>
        <w:jc w:val="both"/>
      </w:pPr>
      <w:r>
        <w:rPr>
          <w:rFonts w:ascii="Times New Roman" w:eastAsia="SimSun"/>
          <w:color w:val="182030"/>
          <w:sz w:val="24"/>
          <w:szCs w:val="24"/>
        </w:rPr>
        <w:t xml:space="preserve">This Delivery Charter establishes the authority, scope, governance, and operating model for the production build of the Aceli Lender Activation Tool (LAT). It is issued by the Delivery Orchestrator and endorsed by the Aceli Africa program sponsor. The charter defines the boundaries within which the multi-agent engineering organization operates and sets the expectations for quality, documentation, traceability, and operational readiness that every sprint must meet.</w:t>
      </w:r>
    </w:p>
    <w:p>
      <w:pPr>
        <w:pStyle w:val="Heading1"/>
        <w:spacing w:after="120" w:before="360" w:line="312"/>
      </w:pPr>
      <w:bookmarkStart w:id="100001" w:name="_Toc100001"/>
      <w:r>
        <w:rPr>
          <w:rFonts w:ascii="Times New Roman" w:eastAsia="SimHei"/>
          <w:b/>
          <w:bCs/>
          <w:color w:val="182030"/>
        </w:rPr>
        <w:t xml:space="preserve">2. Program Scope</w:t>
      </w:r>
      <w:bookmarkEnd w:id="100001"/>
    </w:p>
    <w:p>
      <w:pPr>
        <w:spacing w:after="80" w:line="312"/>
        <w:ind w:firstLine="480"/>
        <w:jc w:val="both"/>
      </w:pPr>
      <w:r>
        <w:rPr>
          <w:rFonts w:ascii="Times New Roman" w:eastAsia="SimSun"/>
          <w:color w:val="182030"/>
          <w:sz w:val="24"/>
          <w:szCs w:val="24"/>
        </w:rPr>
        <w:t xml:space="preserve">The program encompasses the end-to-end design, build, test, migration, deployment, and operational handover of the LAT platform across five Aceli Africa countries. The scope includes: a mobile-first responsive web application with offline capabilities; AI-powered transcription and extraction workflows with human-in-the-loop review; controlled Salesforce integration with bidirectional synchronization; a controlled benchmarking data feed pathway; data migration from existing Google Sheets processes; training, change management, and administrator handover; and post-rollout warranty support for a minimum period as defined in the warranty support model.</w:t>
      </w:r>
    </w:p>
    <w:p>
      <w:pPr>
        <w:spacing w:after="80" w:line="312"/>
        <w:ind w:firstLine="480"/>
        <w:jc w:val="both"/>
      </w:pPr>
      <w:r>
        <w:rPr>
          <w:rFonts w:ascii="Times New Roman" w:eastAsia="SimSun"/>
          <w:color w:val="182030"/>
          <w:sz w:val="24"/>
          <w:szCs w:val="24"/>
        </w:rPr>
        <w:t xml:space="preserve">The scope explicitly excludes: replacement of Salesforce as the system of record; replacement of Power BI as the analytics layer; training of vendor-owned or third-party models on Aceli data; auto-commit of AI-generated updates without human review; and any shadow databases or unmanaged reconciliation routines.</w:t>
      </w:r>
    </w:p>
    <w:p>
      <w:pPr>
        <w:pStyle w:val="Heading1"/>
        <w:spacing w:after="120" w:before="360" w:line="312"/>
      </w:pPr>
      <w:bookmarkStart w:id="100002" w:name="_Toc100002"/>
      <w:r>
        <w:rPr>
          <w:rFonts w:ascii="Times New Roman" w:eastAsia="SimHei"/>
          <w:b/>
          <w:bCs/>
          <w:color w:val="182030"/>
        </w:rPr>
        <w:t xml:space="preserve">3. Delivery Model</w:t>
      </w:r>
      <w:bookmarkEnd w:id="100002"/>
    </w:p>
    <w:p>
      <w:pPr>
        <w:spacing w:after="80" w:line="312"/>
        <w:ind w:firstLine="480"/>
        <w:jc w:val="both"/>
      </w:pPr>
      <w:r>
        <w:rPr>
          <w:rFonts w:ascii="Times New Roman" w:eastAsia="SimSun"/>
          <w:color w:val="182030"/>
          <w:sz w:val="24"/>
          <w:szCs w:val="24"/>
        </w:rPr>
        <w:t xml:space="preserve">The delivery follows a production-first, documentation-first, audit-ready, human-in-the-loop model. Every sprint must produce working software, controlled documentation, test evidence, and operational artifacts. There are no documentation-only sprints and no code-only sprints. The definition of done requires code, tests, documentation, security checks, and release notes for every increment.</w:t>
      </w:r>
    </w:p>
    <w:p>
      <w:pPr>
        <w:spacing w:after="80" w:line="312"/>
        <w:ind w:firstLine="480"/>
        <w:jc w:val="both"/>
      </w:pPr>
      <w:r>
        <w:rPr>
          <w:rFonts w:ascii="Times New Roman" w:eastAsia="SimSun"/>
          <w:color w:val="182030"/>
          <w:sz w:val="24"/>
          <w:szCs w:val="24"/>
        </w:rPr>
        <w:t xml:space="preserve">The sprint cadence is two weeks, with daily automated AI sync for status, blockers, dependencies, and quality updates. Weekly governance reviews cover compliance, scope, architecture, and delivery risk. The program spans 10 sprints across four phases: Phase 0 (Weeks 1-4) for discovery and design; Phase 1 (Weeks 5-13) for pilot build and deployment; Phase 2 (Weeks 14-19) for phased multi-country rollout; and Phase 3 (Weeks 20-24+) for warranty, handover, and continuous improvement.</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Phase</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Weeks</w:t>
            </w:r>
          </w:p>
        </w:tc>
        <w:tc>
          <w:tcPr>
            <w:tcW w:type="pct" w:w="6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Focus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1–4</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Discovery and Design</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5–13</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Pilot Build and Deployment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14–19</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Phased Multi-Country Rollout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20–24+</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Warranty, Handover, and Continuous Improvement</w:t>
            </w:r>
          </w:p>
        </w:tc>
      </w:tr>
    </w:tbl>
    <w:p>
      <w:pPr>
        <w:pStyle w:val="Heading1"/>
        <w:spacing w:after="120" w:before="360" w:line="312"/>
      </w:pPr>
      <w:bookmarkStart w:id="100003" w:name="_Toc100003"/>
      <w:r>
        <w:rPr>
          <w:rFonts w:ascii="Times New Roman" w:eastAsia="SimHei"/>
          <w:b/>
          <w:bCs/>
          <w:color w:val="182030"/>
        </w:rPr>
        <w:t xml:space="preserve">4. Roles and Responsibilities</w:t>
      </w:r>
      <w:bookmarkEnd w:id="100003"/>
    </w:p>
    <w:p>
      <w:pPr>
        <w:spacing w:after="80" w:line="312"/>
        <w:ind w:firstLine="480"/>
        <w:jc w:val="both"/>
      </w:pPr>
      <w:r>
        <w:rPr>
          <w:rFonts w:ascii="Times New Roman" w:eastAsia="SimSun"/>
          <w:color w:val="182030"/>
          <w:sz w:val="24"/>
          <w:szCs w:val="24"/>
        </w:rPr>
        <w:t xml:space="preserve">The delivery organization comprises 15 core agent roles: Delivery Orchestrator (program coordination and governance), Product Owner (requirements ownership and prioritization), Business Analyst (current-state analysis and user stories), Solution Architect (architecture decisions and integration design), Salesforce Integration Agent (Salesforce API and schema work), AI/ML Workflow Agent (transcription, extraction, and prompt engineering), Frontend Engineering Agent (mobile-first web application), Backend/API Engineering Agent (service layer and API development), Data Migration Agent (Google Sheets migration), DevSecOps Agent (CI/CD, security, environments), QA Automation Agent (testing and quality gates), Technical Writer Agent (documentation), Release Manager Agent (release packaging and governance), Change Management Agent (training and adoption), and Red Team/Compliance Agent (security review and compliance validation).</w:t>
      </w:r>
    </w:p>
    <w:p>
      <w:pPr>
        <w:spacing w:after="80" w:line="312"/>
        <w:ind w:firstLine="480"/>
        <w:jc w:val="both"/>
      </w:pPr>
      <w:r>
        <w:rPr>
          <w:rFonts w:ascii="Times New Roman" w:eastAsia="SimSun"/>
          <w:color w:val="182030"/>
          <w:sz w:val="24"/>
          <w:szCs w:val="24"/>
        </w:rPr>
        <w:t xml:space="preserve">Each role has defined responsibilities, approval authorities, and escalation paths. The Delivery Orchestrator maintains the program backlog, manages cross-sprint dependencies, and enforces quality gates.</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tblGrid>
      <w:tr>
        <w:trPr>
          <w:tblHeader/>
        </w:trPr>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Role</w:t>
            </w:r>
          </w:p>
        </w:tc>
        <w:tc>
          <w:tcPr>
            <w:tcW w:type="pct" w:w="6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Primary Responsibility</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coordination and governance</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 Owner</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Requirements ownership and prioritization</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Analyst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Current-state analysis and user stories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 decisions and integration design</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Integration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API and schema work</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AI/ML Workflow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Transcription, extraction, and prompt engineering</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Frontend Engineering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Mobile-first web application</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Backend/API Engineering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Service layer and API development</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Migration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Google Sheets migration</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CI/CD, security, environments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Automation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Testing and quality gates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Technical Writer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Documentation</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packaging and governance</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Training and adoption</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Red Team/Compliance Agent</w:t>
            </w:r>
          </w:p>
        </w:tc>
        <w:tc>
          <w:tcPr>
            <w:tcW w:type="pct" w:w="6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review and compliance validation</w:t>
            </w:r>
          </w:p>
        </w:tc>
      </w:tr>
    </w:tbl>
    <w:p>
      <w:pPr>
        <w:pStyle w:val="Heading1"/>
        <w:spacing w:after="120" w:before="360" w:line="312"/>
      </w:pPr>
      <w:bookmarkStart w:id="100004" w:name="_Toc100004"/>
      <w:r>
        <w:rPr>
          <w:rFonts w:ascii="Times New Roman" w:eastAsia="SimHei"/>
          <w:b/>
          <w:bCs/>
          <w:color w:val="182030"/>
        </w:rPr>
        <w:t xml:space="preserve">5. Quality Gates and Definition of Done</w:t>
      </w:r>
      <w:bookmarkEnd w:id="100004"/>
    </w:p>
    <w:p>
      <w:pPr>
        <w:pStyle w:val="Heading2"/>
        <w:spacing w:after="120" w:before="240" w:line="312"/>
      </w:pPr>
      <w:bookmarkStart w:id="100005" w:name="_Toc100005"/>
      <w:r>
        <w:rPr>
          <w:rFonts w:ascii="Times New Roman" w:eastAsia="SimHei"/>
          <w:b/>
          <w:bCs/>
          <w:color w:val="182030"/>
        </w:rPr>
        <w:t xml:space="preserve">5.1 Mandatory Quality Gates</w:t>
      </w:r>
      <w:bookmarkEnd w:id="100005"/>
    </w:p>
    <w:p>
      <w:pPr>
        <w:spacing w:after="80" w:line="312"/>
        <w:ind w:firstLine="480"/>
        <w:jc w:val="both"/>
      </w:pPr>
      <w:r>
        <w:rPr>
          <w:rFonts w:ascii="Times New Roman" w:eastAsia="SimSun"/>
          <w:color w:val="182030"/>
          <w:sz w:val="24"/>
          <w:szCs w:val="24"/>
        </w:rPr>
        <w:t xml:space="preserve">Every sprint must pass the following mandatory quality gates:</w:t>
      </w:r>
    </w:p>
    <w:p>
      <w:pPr>
        <w:pStyle w:val="ListParagraph"/>
        <w:numPr>
          <w:ilvl w:val="0"/>
          <w:numId w:val="1"/>
        </w:numPr>
        <w:spacing w:after="40" w:line="312"/>
      </w:pPr>
      <w:r>
        <w:rPr>
          <w:rFonts w:ascii="Times New Roman" w:eastAsia="SimSun"/>
          <w:color w:val="182030"/>
          <w:sz w:val="24"/>
          <w:szCs w:val="24"/>
        </w:rPr>
        <w:t xml:space="preserve">Requirements traceability updated</w:t>
      </w:r>
    </w:p>
    <w:p>
      <w:pPr>
        <w:pStyle w:val="ListParagraph"/>
        <w:numPr>
          <w:ilvl w:val="0"/>
          <w:numId w:val="1"/>
        </w:numPr>
        <w:spacing w:after="40" w:line="312"/>
      </w:pPr>
      <w:r>
        <w:rPr>
          <w:rFonts w:ascii="Times New Roman" w:eastAsia="SimSun"/>
          <w:color w:val="182030"/>
          <w:sz w:val="24"/>
          <w:szCs w:val="24"/>
        </w:rPr>
        <w:t xml:space="preserve">Architecture conformance check passed</w:t>
      </w:r>
    </w:p>
    <w:p>
      <w:pPr>
        <w:pStyle w:val="ListParagraph"/>
        <w:numPr>
          <w:ilvl w:val="0"/>
          <w:numId w:val="1"/>
        </w:numPr>
        <w:spacing w:after="40" w:line="312"/>
      </w:pPr>
      <w:r>
        <w:rPr>
          <w:rFonts w:ascii="Times New Roman" w:eastAsia="SimSun"/>
          <w:color w:val="182030"/>
          <w:sz w:val="24"/>
          <w:szCs w:val="24"/>
        </w:rPr>
        <w:t xml:space="preserve">Security review completed for changed surfaces</w:t>
      </w:r>
    </w:p>
    <w:p>
      <w:pPr>
        <w:pStyle w:val="ListParagraph"/>
        <w:numPr>
          <w:ilvl w:val="0"/>
          <w:numId w:val="1"/>
        </w:numPr>
        <w:spacing w:after="40" w:line="312"/>
      </w:pPr>
      <w:r>
        <w:rPr>
          <w:rFonts w:ascii="Times New Roman" w:eastAsia="SimSun"/>
          <w:color w:val="182030"/>
          <w:sz w:val="24"/>
          <w:szCs w:val="24"/>
        </w:rPr>
        <w:t xml:space="preserve">Static analysis and linting passed</w:t>
      </w:r>
    </w:p>
    <w:p>
      <w:pPr>
        <w:pStyle w:val="ListParagraph"/>
        <w:numPr>
          <w:ilvl w:val="0"/>
          <w:numId w:val="1"/>
        </w:numPr>
        <w:spacing w:after="40" w:line="312"/>
      </w:pPr>
      <w:r>
        <w:rPr>
          <w:rFonts w:ascii="Times New Roman" w:eastAsia="SimSun"/>
          <w:color w:val="182030"/>
          <w:sz w:val="24"/>
          <w:szCs w:val="24"/>
        </w:rPr>
        <w:t xml:space="preserve">Automated tests passed at agreed threshold</w:t>
      </w:r>
    </w:p>
    <w:p>
      <w:pPr>
        <w:pStyle w:val="ListParagraph"/>
        <w:numPr>
          <w:ilvl w:val="0"/>
          <w:numId w:val="1"/>
        </w:numPr>
        <w:spacing w:after="40" w:line="312"/>
      </w:pPr>
      <w:r>
        <w:rPr>
          <w:rFonts w:ascii="Times New Roman" w:eastAsia="SimSun"/>
          <w:color w:val="182030"/>
          <w:sz w:val="24"/>
          <w:szCs w:val="24"/>
        </w:rPr>
        <w:t xml:space="preserve">Documentation updated</w:t>
      </w:r>
    </w:p>
    <w:p>
      <w:pPr>
        <w:pStyle w:val="ListParagraph"/>
        <w:numPr>
          <w:ilvl w:val="0"/>
          <w:numId w:val="1"/>
        </w:numPr>
        <w:spacing w:after="40" w:line="312"/>
      </w:pPr>
      <w:r>
        <w:rPr>
          <w:rFonts w:ascii="Times New Roman" w:eastAsia="SimSun"/>
          <w:color w:val="182030"/>
          <w:sz w:val="24"/>
          <w:szCs w:val="24"/>
        </w:rPr>
        <w:t xml:space="preserve">Release notes generated</w:t>
      </w:r>
    </w:p>
    <w:p>
      <w:pPr>
        <w:pStyle w:val="ListParagraph"/>
        <w:numPr>
          <w:ilvl w:val="0"/>
          <w:numId w:val="1"/>
        </w:numPr>
        <w:spacing w:after="40" w:line="312"/>
      </w:pPr>
      <w:r>
        <w:rPr>
          <w:rFonts w:ascii="Times New Roman" w:eastAsia="SimSun"/>
          <w:color w:val="182030"/>
          <w:sz w:val="24"/>
          <w:szCs w:val="24"/>
        </w:rPr>
        <w:t xml:space="preserve">Rollback plan updated if release affects production path</w:t>
      </w:r>
    </w:p>
    <w:p>
      <w:pPr>
        <w:pStyle w:val="ListParagraph"/>
        <w:numPr>
          <w:ilvl w:val="0"/>
          <w:numId w:val="1"/>
        </w:numPr>
        <w:spacing w:after="40" w:line="312"/>
      </w:pPr>
      <w:r>
        <w:rPr>
          <w:rFonts w:ascii="Times New Roman" w:eastAsia="SimSun"/>
          <w:color w:val="182030"/>
          <w:sz w:val="24"/>
          <w:szCs w:val="24"/>
        </w:rPr>
        <w:t xml:space="preserve">Audit coverage check passed for user and AI flows</w:t>
      </w:r>
    </w:p>
    <w:p>
      <w:pPr>
        <w:pStyle w:val="Heading2"/>
        <w:spacing w:after="120" w:before="240" w:line="312"/>
      </w:pPr>
      <w:bookmarkStart w:id="100006" w:name="_Toc100006"/>
      <w:r>
        <w:rPr>
          <w:rFonts w:ascii="Times New Roman" w:eastAsia="SimHei"/>
          <w:b/>
          <w:bCs/>
          <w:color w:val="182030"/>
        </w:rPr>
        <w:t xml:space="preserve">5.2 Definition of Done</w:t>
      </w:r>
      <w:bookmarkEnd w:id="100006"/>
    </w:p>
    <w:p>
      <w:pPr>
        <w:spacing w:after="80" w:line="312"/>
        <w:ind w:firstLine="480"/>
        <w:jc w:val="both"/>
      </w:pPr>
      <w:r>
        <w:rPr>
          <w:rFonts w:ascii="Times New Roman" w:eastAsia="SimSun"/>
          <w:color w:val="182030"/>
          <w:sz w:val="24"/>
          <w:szCs w:val="24"/>
        </w:rPr>
        <w:t xml:space="preserve">Definition of done requires: code merged, tests passed, documentation updated, release note published, deployment evidence exists, rollback plan exists, and approvers sign off.</w:t>
      </w:r>
    </w:p>
    <w:p>
      <w:pPr>
        <w:pStyle w:val="Heading1"/>
        <w:spacing w:after="120" w:before="360" w:line="312"/>
      </w:pPr>
      <w:bookmarkStart w:id="100007" w:name="_Toc100007"/>
      <w:r>
        <w:rPr>
          <w:rFonts w:ascii="Times New Roman" w:eastAsia="SimHei"/>
          <w:b/>
          <w:bCs/>
          <w:color w:val="182030"/>
        </w:rPr>
        <w:t xml:space="preserve">6. Governance and Escalation</w:t>
      </w:r>
      <w:bookmarkEnd w:id="100007"/>
    </w:p>
    <w:p>
      <w:pPr>
        <w:spacing w:after="80" w:line="312"/>
        <w:ind w:firstLine="480"/>
        <w:jc w:val="both"/>
      </w:pPr>
      <w:r>
        <w:rPr>
          <w:rFonts w:ascii="Times New Roman" w:eastAsia="SimSun"/>
          <w:color w:val="182030"/>
          <w:sz w:val="24"/>
          <w:szCs w:val="24"/>
        </w:rPr>
        <w:t xml:space="preserve">The governance model operates at three levels: strategic (program sponsor and Aceli leadership for scope, budget, and timeline decisions), tactical (Delivery Orchestrator and Solution Architect for architecture, integration, and delivery risk decisions), and operational (individual agents for day-to-day technical decisions within approved scope).</w:t>
      </w:r>
    </w:p>
    <w:p>
      <w:pPr>
        <w:pStyle w:val="Heading2"/>
        <w:spacing w:after="120" w:before="240" w:line="312"/>
      </w:pPr>
      <w:bookmarkStart w:id="100008" w:name="_Toc100008"/>
      <w:r>
        <w:rPr>
          <w:rFonts w:ascii="Times New Roman" w:eastAsia="SimHei"/>
          <w:b/>
          <w:bCs/>
          <w:color w:val="182030"/>
        </w:rPr>
        <w:t xml:space="preserve">6.1 Governance Levels</w:t>
      </w:r>
      <w:bookmarkEnd w:id="100008"/>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Level</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Participants</w:t>
            </w:r>
          </w:p>
        </w:tc>
        <w:tc>
          <w:tcPr>
            <w:tcW w:type="pct" w:w="4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Decisions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Strategic</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Program Sponsor, Aceli Leadership</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Scope, budget, and timeline decisions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Tactical</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 Solution Architect</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 integration, and delivery risk decisions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Operational</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Individual Agents</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Day-to-day technical decisions within approved scope</w:t>
            </w:r>
          </w:p>
        </w:tc>
      </w:tr>
    </w:tbl>
    <w:p>
      <w:pPr>
        <w:pStyle w:val="Heading2"/>
        <w:spacing w:after="120" w:before="240" w:line="312"/>
      </w:pPr>
      <w:bookmarkStart w:id="100009" w:name="_Toc100009"/>
      <w:r>
        <w:rPr>
          <w:rFonts w:ascii="Times New Roman" w:eastAsia="SimHei"/>
          <w:b/>
          <w:bCs/>
          <w:color w:val="182030"/>
        </w:rPr>
        <w:t xml:space="preserve">6.2 Escalation Model</w:t>
      </w:r>
      <w:bookmarkEnd w:id="100009"/>
    </w:p>
    <w:p>
      <w:pPr>
        <w:spacing w:after="80" w:line="312"/>
        <w:ind w:firstLine="480"/>
        <w:jc w:val="both"/>
      </w:pPr>
      <w:r>
        <w:rPr>
          <w:rFonts w:ascii="Times New Roman" w:eastAsia="SimSun"/>
          <w:color w:val="182030"/>
          <w:sz w:val="24"/>
          <w:szCs w:val="24"/>
        </w:rPr>
        <w:t xml:space="preserve">Escalation follows the confidence threshold model: confidence above 0.90 allows autonomous execution within approved scope; confidence 0.70–0.89 allows autonomous draft with mandatory peer review; confidence below 0.70 requires escalation to human-in-the-loop or lead architect review. Any security, data governance, or production data task always requires human review.</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tblGrid>
      <w:tr>
        <w:trPr>
          <w:tblHeader/>
        </w:trPr>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Confidence Range</w:t>
            </w:r>
          </w:p>
        </w:tc>
        <w:tc>
          <w:tcPr>
            <w:tcW w:type="pct" w:w="7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Action</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Above 0.90</w:t>
            </w:r>
          </w:p>
        </w:tc>
        <w:tc>
          <w:tcPr>
            <w:tcW w:type="pct" w:w="7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Autonomous execution within approved scope</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0.70 – 0.89</w:t>
            </w:r>
          </w:p>
        </w:tc>
        <w:tc>
          <w:tcPr>
            <w:tcW w:type="pct" w:w="7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Autonomous draft with mandatory peer review</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Below 0.70</w:t>
            </w:r>
          </w:p>
        </w:tc>
        <w:tc>
          <w:tcPr>
            <w:tcW w:type="pct" w:w="7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Escalation to human-in-the-loop or lead architect review</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 Data Governance / Production Data</w:t>
            </w:r>
          </w:p>
        </w:tc>
        <w:tc>
          <w:tcPr>
            <w:tcW w:type="pct" w:w="7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Always requires human review regardless of confidence</w:t>
            </w:r>
          </w:p>
        </w:tc>
      </w:tr>
    </w:tbl>
    <w:p>
      <w:pPr>
        <w:pStyle w:val="Heading1"/>
        <w:spacing w:after="120" w:before="360" w:line="312"/>
      </w:pPr>
      <w:bookmarkStart w:id="100010" w:name="_Toc100010"/>
      <w:r>
        <w:rPr>
          <w:rFonts w:ascii="Times New Roman" w:eastAsia="SimHei"/>
          <w:b/>
          <w:bCs/>
          <w:color w:val="182030"/>
        </w:rPr>
        <w:t xml:space="preserve">7. Risk Management</w:t>
      </w:r>
      <w:bookmarkEnd w:id="100010"/>
    </w:p>
    <w:p>
      <w:pPr>
        <w:spacing w:after="80" w:line="312"/>
        <w:ind w:firstLine="480"/>
        <w:jc w:val="both"/>
      </w:pPr>
      <w:r>
        <w:rPr>
          <w:rFonts w:ascii="Times New Roman" w:eastAsia="SimSun"/>
          <w:color w:val="182030"/>
          <w:sz w:val="24"/>
          <w:szCs w:val="24"/>
        </w:rPr>
        <w:t xml:space="preserve">Risks are tracked in a structured risk register with probability, impact, mitigation strategy, and owner. Key program risks include:</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tblGrid>
      <w:tr>
        <w:trPr>
          <w:tblHeader/>
        </w:trPr>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Risk Area</w:t>
            </w:r>
          </w:p>
        </w:tc>
        <w:tc>
          <w:tcPr>
            <w:tcW w:type="pct" w:w="7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Mitigation Strategy</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Connectivity challenges in field environments</w:t>
            </w:r>
          </w:p>
        </w:tc>
        <w:tc>
          <w:tcPr>
            <w:tcW w:type="pct" w:w="7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Robust offline-first architecture</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API governance</w:t>
            </w:r>
          </w:p>
        </w:tc>
        <w:tc>
          <w:tcPr>
            <w:tcW w:type="pct" w:w="7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Coordination with Aceli administrators</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 transcription accuracy for diverse accents</w:t>
            </w:r>
          </w:p>
        </w:tc>
        <w:tc>
          <w:tcPr>
            <w:tcW w:type="pct" w:w="7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Testing and calibration across dialects</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migration quality from Google Sheets</w:t>
            </w:r>
          </w:p>
        </w:tc>
        <w:tc>
          <w:tcPr>
            <w:tcW w:type="pct" w:w="7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Full migration sub-program treatment</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 and adoption risk</w:t>
            </w:r>
          </w:p>
        </w:tc>
        <w:tc>
          <w:tcPr>
            <w:tcW w:type="pct" w:w="7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Structured training and hypercare</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Legal and information security gating</w:t>
            </w:r>
          </w:p>
        </w:tc>
        <w:tc>
          <w:tcPr>
            <w:tcW w:type="pct" w:w="7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be satisfied before sensitive data access</w:t>
            </w:r>
          </w:p>
        </w:tc>
      </w:tr>
    </w:tbl>
    <w:p>
      <w:pPr>
        <w:pStyle w:val="Heading1"/>
        <w:spacing w:after="120" w:before="360" w:line="312"/>
      </w:pPr>
      <w:bookmarkStart w:id="100011" w:name="_Toc100011"/>
      <w:r>
        <w:rPr>
          <w:rFonts w:ascii="Times New Roman" w:eastAsia="SimHei"/>
          <w:b/>
          <w:bCs/>
          <w:color w:val="182030"/>
        </w:rPr>
        <w:t xml:space="preserve">8. Communication and Reporting</w:t>
      </w:r>
      <w:bookmarkEnd w:id="100011"/>
    </w:p>
    <w:p>
      <w:pPr>
        <w:spacing w:after="80" w:line="312"/>
        <w:ind w:firstLine="480"/>
        <w:jc w:val="both"/>
      </w:pPr>
      <w:r>
        <w:rPr>
          <w:rFonts w:ascii="Times New Roman" w:eastAsia="SimSun"/>
          <w:color w:val="182030"/>
          <w:sz w:val="24"/>
          <w:szCs w:val="24"/>
        </w:rPr>
        <w:t xml:space="preserve">Daily AI sync provides automated status, blocker, dependency, and quality updates. Weekly governance reviews cover compliance, scope, architecture, and delivery risk. End-of-sprint outputs include working increment, evidence pack, updated documentation, and release notes. All communications must be traceable and audit-ready.</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Cadence</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Scope</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Output</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Daily</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Status, blockers, dependencies, quality</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AI sync</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Weekly</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Compliance, scope, architecture, delivery risk</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Governance review</w:t>
            </w:r>
          </w:p>
        </w:tc>
      </w:tr>
      <w:tr>
        <w:trPr>
          <w:cantSplit/>
        </w:trPr>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End-of-Sprint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Increment, evidence, documentation, release notes</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deliverable pack</w:t>
            </w:r>
          </w:p>
        </w:tc>
      </w:tr>
    </w:tbl>
    <w:p>
      <w:pPr>
        <w:pStyle w:val="Heading1"/>
        <w:spacing w:after="120" w:before="360" w:line="312"/>
      </w:pPr>
      <w:bookmarkStart w:id="100012" w:name="_Toc100012"/>
      <w:r>
        <w:rPr>
          <w:rFonts w:ascii="Times New Roman" w:eastAsia="SimHei"/>
          <w:b/>
          <w:bCs/>
          <w:color w:val="182030"/>
        </w:rPr>
        <w:t xml:space="preserve">9. Charter Acceptance</w:t>
      </w:r>
      <w:bookmarkEnd w:id="100012"/>
    </w:p>
    <w:p>
      <w:pPr>
        <w:spacing w:after="80" w:line="312"/>
        <w:ind w:firstLine="480"/>
        <w:jc w:val="both"/>
      </w:pPr>
      <w:r>
        <w:rPr>
          <w:rFonts w:ascii="Times New Roman" w:eastAsia="SimSun"/>
          <w:color w:val="182030"/>
          <w:sz w:val="24"/>
          <w:szCs w:val="24"/>
        </w:rPr>
        <w:t xml:space="preserve">This charter is effective upon endorsement by the Aceli Africa program sponsor. Changes to the charter require sponsor approval. The charter will be reviewed and updated at the start of each phase transition.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Delivery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2026-06-12T05:07:29.564Z</dcterms:created>
  <dcterms:modified xsi:type="dcterms:W3CDTF">2026-06-12T05:07:29.564Z</dcterms:modified>
</cp:coreProperties>
</file>

<file path=docProps/custom.xml><?xml version="1.0" encoding="utf-8"?>
<Properties xmlns="http://schemas.openxmlformats.org/officeDocument/2006/custom-properties" xmlns:vt="http://schemas.openxmlformats.org/officeDocument/2006/docPropsVTypes"/>
</file>