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588"/>
            </w:pPr>
          </w:p>
          <w:p>
            <w:pPr>
              <w:pBdr>
                <w:bottom w:val="single" w:sz="6" w:space="8"/>
              </w:pBdr>
              <w:spacing w:after="500"/>
              <w:ind w:left="1200" w:right="800"/>
            </w:pPr>
            <w:r>
              <w:rPr>
                <w:rFonts w:ascii="Calibri" w:eastAsia="SimHei"/>
                <w:spacing w:val="40"/>
                <w:sz w:val="18"/>
                <w:szCs w:val="18"/>
              </w:rPr>
              <w:t xml:space="preserve">E  N  V  I  R  O  N  M  E  N  T     S  T  R  A  T  E  G  Y</w:t>
            </w:r>
          </w:p>
          <w:p>
            <w:pPr>
              <w:spacing w:after="100" w:line="920" w:lineRule="atLeast"/>
              <w:ind w:left="1200"/>
            </w:pPr>
            <w:r>
              <w:rPr>
                <w:rFonts w:ascii="Arial" w:eastAsia="SimHei"/>
                <w:b/>
                <w:bCs/>
                <w:color w:val="FFFFFF"/>
                <w:sz w:val="80"/>
                <w:szCs w:val="80"/>
              </w:rPr>
              <w:t xml:space="preserve">Aceli LAT</w:t>
            </w:r>
          </w:p>
          <w:p>
            <w:pPr>
              <w:spacing w:after="100" w:line="920" w:lineRule="atLeast"/>
              <w:ind w:left="1200"/>
            </w:pPr>
            <w:r>
              <w:rPr>
                <w:rFonts w:ascii="Arial" w:eastAsia="SimHei"/>
                <w:b/>
                <w:bCs/>
                <w:color w:val="FFFFFF"/>
                <w:sz w:val="80"/>
                <w:szCs w:val="80"/>
              </w:rPr>
              <w:t xml:space="preserve">Environment</w:t>
            </w:r>
          </w:p>
          <w:p>
            <w:pPr>
              <w:spacing w:after="300" w:line="920" w:lineRule="atLeast"/>
              <w:ind w:left="1200"/>
            </w:pPr>
            <w:r>
              <w:rPr>
                <w:rFonts w:ascii="Arial" w:eastAsia="SimHei"/>
                <w:b/>
                <w:bCs/>
                <w:color w:val="FFFFFF"/>
                <w:sz w:val="80"/>
                <w:szCs w:val="80"/>
              </w:rPr>
              <w:t xml:space="preserve">Strategy</w:t>
            </w:r>
          </w:p>
          <w:p>
            <w:pPr>
              <w:spacing w:after="800"/>
              <w:ind w:left="1200"/>
            </w:pPr>
            <w:r>
              <w:rPr>
                <w:rFonts w:ascii="Arial" w:eastAsia="Microsoft YaHei"/>
                <w:color w:val="B0B8C0"/>
                <w:sz w:val="24"/>
                <w:szCs w:val="24"/>
              </w:rPr>
              <w:t xml:space="preserve">Environment Topology, Promotion Pathways, and Data Governance</w:t>
            </w:r>
          </w:p>
          <w:p>
            <w:pPr>
              <w:pBdr>
                <w:left w:val="single" w:sz="8" w:space="12"/>
              </w:pBdr>
              <w:spacing w:after="80"/>
              <w:ind w:left="1400"/>
            </w:pPr>
            <w:r>
              <w:rPr>
                <w:rFonts w:ascii="Arial" w:eastAsia="Microsoft YaHei"/>
                <w:color w:val="90989F"/>
                <w:sz w:val="24"/>
                <w:szCs w:val="24"/>
              </w:rPr>
              <w:t xml:space="preserve">Project: Aceli Africa LAT Platform</w:t>
            </w:r>
          </w:p>
          <w:p>
            <w:pPr>
              <w:pBdr>
                <w:left w:val="single" w:sz="8" w:space="12"/>
              </w:pBdr>
              <w:spacing w:after="80"/>
              <w:ind w:left="1400"/>
            </w:pPr>
            <w:r>
              <w:rPr>
                <w:rFonts w:ascii="Arial" w:eastAsia="Microsoft YaHei"/>
                <w:color w:val="90989F"/>
                <w:sz w:val="24"/>
                <w:szCs w:val="24"/>
              </w:rPr>
              <w:t xml:space="preserve">Version: 1.0</w:t>
            </w:r>
          </w:p>
          <w:p>
            <w:pPr>
              <w:pBdr>
                <w:left w:val="single" w:sz="8" w:space="12"/>
              </w:pBdr>
              <w:spacing w:after="80"/>
              <w:ind w:left="1400"/>
            </w:pPr>
            <w:r>
              <w:rPr>
                <w:rFonts w:ascii="Arial" w:eastAsia="Microsoft YaHei"/>
                <w:color w:val="90989F"/>
                <w:sz w:val="24"/>
                <w:szCs w:val="24"/>
              </w:rPr>
              <w:t xml:space="preserve">Date: 2026-06-12</w:t>
            </w:r>
          </w:p>
          <w:p>
            <w:pPr>
              <w:pBdr>
                <w:left w:val="single" w:sz="8" w:space="12"/>
              </w:pBdr>
              <w:spacing w:after="80"/>
              <w:ind w:left="1400"/>
            </w:pPr>
            <w:r>
              <w:rPr>
                <w:rFonts w:ascii="Arial" w:eastAsia="Microsoft YaHei"/>
                <w:color w:val="90989F"/>
                <w:sz w:val="24"/>
                <w:szCs w:val="24"/>
              </w:rPr>
              <w:t xml:space="preserve">Classification: Confidential</w:t>
            </w:r>
          </w:p>
          <w:p>
            <w:pPr>
              <w:spacing w:before="3588"/>
            </w:pPr>
          </w:p>
          <w:p>
            <w:pPr>
              <w:pBdr>
                <w:top w:val="single" w:sz="2" w:space="8"/>
              </w:pBdr>
              <w:spacing w:before="200"/>
              <w:ind w:left="1200" w:right="800"/>
            </w:pPr>
            <w:r>
              <w:rPr>
                <w:rFonts w:ascii="Arial"/>
                <w:color w:val="687078"/>
                <w:sz w:val="16"/>
                <w:szCs w:val="16"/>
              </w:rPr>
              <w:t xml:space="preserve">Aceli Africa</w:t>
            </w:r>
            <w:r>
              <w:t xml:space="preserve">                                        </w:t>
            </w:r>
            <w:r>
              <w:rPr>
                <w:rFonts w:ascii="Arial"/>
                <w:color w:val="687078"/>
                <w:sz w:val="16"/>
                <w:szCs w:val="16"/>
              </w:rPr>
              <w:t xml:space="preserve">Sprint 0 Deliverable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Environment Strategy Purpose</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Environment Topology</w:t>
            </w:r>
            <w:r>
              <w:tab/>
            </w:r>
            <w:r>
              <w:fldChar w:fldCharType="begin"/>
            </w:r>
            <w:r>
              <w:instrText xml:space="preserve"> PAGEREF _Toc100001 \h </w:instrText>
            </w:r>
            <w:r>
              <w:fldChar w:fldCharType="separate"/>
            </w:r>
            <w:r>
              <w:t>1</w:t>
            </w:r>
            <w:r>
              <w:fldChar w:fldCharType="end"/>
            </w:r>
          </w:hyperlink>
        </w:p>
        <w:p>
          <w:pPr>
            <w:pStyle w:val="9"/>
            <w:tabs>
              <w:tab w:val="right" w:leader="dot" w:pos="9026"/>
            </w:tabs>
            <w:spacing w:before="120" w:after="60"/>
          </w:pPr>
          <w:hyperlink w:anchor="_Toc100002" w:history="1">
            <w:r>
              <w:rPr>
                <w:rStyle w:val="Hyperlink"/>
              </w:rPr>
              <w:t>3. Promotion Pathway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Data Handling per Environment</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Secret and Configuration Management</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Access Control and RBAC per Environment</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7. CI/CD Pipeline Architecture</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8. Environment Provisioning and Decommissioning</w:t>
            </w:r>
            <w:r>
              <w:tab/>
            </w:r>
            <w:r>
              <w:fldChar w:fldCharType="begin"/>
            </w:r>
            <w:r>
              <w:instrText xml:space="preserve"> PAGEREF _Toc100007 \h </w:instrText>
            </w:r>
            <w:r>
              <w:fldChar w:fldCharType="separate"/>
            </w:r>
            <w:r>
              <w:t>4</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Times New Roman" w:eastAsia="SimHei"/>
          <w:b/>
          <w:bCs/>
          <w:color w:val="182030"/>
        </w:rPr>
        <w:t xml:space="preserve">1. Environment Strategy Purpose</w:t>
      </w:r>
      <w:bookmarkEnd w:id="100000"/>
    </w:p>
    <w:p>
      <w:pPr>
        <w:spacing w:after="80" w:line="312"/>
        <w:ind w:firstLine="480"/>
        <w:jc w:val="both"/>
      </w:pPr>
      <w:r>
        <w:rPr>
          <w:rFonts w:ascii="Times New Roman" w:eastAsia="SimSun"/>
          <w:color w:val="182030"/>
          <w:sz w:val="24"/>
          <w:szCs w:val="24"/>
        </w:rPr>
        <w:t xml:space="preserve">This document defines the environment strategy for the Aceli LAT production build. It establishes the environments, their purposes, promotion pathways, access controls, data handling rules, and operational responsibilities. The strategy ensures that every stage of the delivery pipeline operates in a controlled, reproducible, and auditable manner, consistent with the RFP requirements for data governance, tenant security, and production safety.</w:t>
      </w:r>
    </w:p>
    <w:p>
      <w:pPr>
        <w:pStyle w:val="Heading1"/>
        <w:spacing w:after="120" w:before="360" w:line="312"/>
      </w:pPr>
      <w:bookmarkStart w:id="100001" w:name="_Toc100001"/>
      <w:r>
        <w:rPr>
          <w:rFonts w:ascii="Times New Roman" w:eastAsia="SimHei"/>
          <w:b/>
          <w:bCs/>
          <w:color w:val="182030"/>
        </w:rPr>
        <w:t xml:space="preserve">2. Environment Topology</w:t>
      </w:r>
      <w:bookmarkEnd w:id="100001"/>
    </w:p>
    <w:p>
      <w:pPr>
        <w:spacing w:after="80" w:line="312"/>
        <w:ind w:firstLine="480"/>
        <w:jc w:val="both"/>
      </w:pPr>
      <w:r>
        <w:rPr>
          <w:rFonts w:ascii="Times New Roman" w:eastAsia="SimSun"/>
          <w:color w:val="182030"/>
          <w:sz w:val="24"/>
          <w:szCs w:val="24"/>
        </w:rPr>
        <w:t xml:space="preserve">The environment topology comprises five distinct environments, each serving a specific purpose in the delivery pipeline.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tblGrid>
      <w:tr>
        <w:trPr>
          <w:tblHeader/>
        </w:trPr>
        <w:tc>
          <w:tcPr>
            <w:tcW w:type="pct" w:w="1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Environment</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Purpose</w:t>
            </w:r>
          </w:p>
        </w:tc>
        <w:tc>
          <w:tcPr>
            <w:tcW w:type="pct" w:w="22%"/>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Data Classification</w:t>
            </w:r>
          </w:p>
        </w:tc>
        <w:tc>
          <w:tcPr>
            <w:tcW w:type="pct" w:w="18%"/>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Access Level</w:t>
            </w:r>
          </w:p>
        </w:tc>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Managed By</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Local/Dev</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Individual agent development and unit testing</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Synthetic data only</w:t>
            </w:r>
          </w:p>
        </w:tc>
        <w:tc>
          <w:tcPr>
            <w:tcW w:type="pct" w:w="1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Developer role</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testing and contract validation</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Synthetic data with controlled test fixtures</w:t>
            </w:r>
          </w:p>
        </w:tc>
        <w:tc>
          <w:tcPr>
            <w:tcW w:type="pct" w:w="1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and development roles</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User acceptance testing and business validation</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Anonymized production-like data</w:t>
            </w:r>
          </w:p>
        </w:tc>
        <w:tc>
          <w:tcPr>
            <w:tcW w:type="pct" w:w="1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users and QA</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Staging</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Pre-production validation and performance testing</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 mirror data (anonymized)</w:t>
            </w:r>
          </w:p>
        </w:tc>
        <w:tc>
          <w:tcPr>
            <w:tcW w:type="pct" w:w="1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 and QA</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1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Live operational environment</w:t>
            </w:r>
          </w:p>
        </w:tc>
        <w:tc>
          <w:tcPr>
            <w:tcW w:type="pct" w:w="22%"/>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Real production data</w:t>
            </w:r>
          </w:p>
        </w:tc>
        <w:tc>
          <w:tcPr>
            <w:tcW w:type="pct" w:w="18%"/>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Authorized users per RBAC</w:t>
            </w:r>
          </w:p>
        </w:tc>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 with Aceli operations</w:t>
            </w:r>
          </w:p>
        </w:tc>
      </w:tr>
    </w:tbl>
    <w:p>
      <w:pPr>
        <w:pStyle w:val="Heading1"/>
        <w:spacing w:after="120" w:before="360" w:line="312"/>
      </w:pPr>
      <w:bookmarkStart w:id="100002" w:name="_Toc100002"/>
      <w:r>
        <w:rPr>
          <w:rFonts w:ascii="Times New Roman" w:eastAsia="SimHei"/>
          <w:b/>
          <w:bCs/>
          <w:color w:val="182030"/>
        </w:rPr>
        <w:t xml:space="preserve">3. Promotion Pathway</w:t>
      </w:r>
      <w:bookmarkEnd w:id="100002"/>
    </w:p>
    <w:p>
      <w:pPr>
        <w:spacing w:after="80" w:line="312"/>
        <w:ind w:firstLine="480"/>
        <w:jc w:val="both"/>
      </w:pPr>
      <w:r>
        <w:rPr>
          <w:rFonts w:ascii="Times New Roman" w:eastAsia="SimSun"/>
          <w:color w:val="182030"/>
          <w:sz w:val="24"/>
          <w:szCs w:val="24"/>
        </w:rPr>
        <w:t xml:space="preserve">Code and configuration promote through environments in a strict linear pathway:</w:t>
      </w:r>
    </w:p>
    <w:p>
      <w:pPr>
        <w:pStyle w:val="ListParagraph"/>
        <w:numPr>
          <w:ilvl w:val="0"/>
          <w:numId w:val="1"/>
        </w:numPr>
        <w:spacing w:after="40" w:line="312"/>
      </w:pPr>
      <w:r>
        <w:rPr>
          <w:rFonts w:ascii="Times New Roman" w:eastAsia="SimSun"/>
          <w:color w:val="182030"/>
          <w:sz w:val="24"/>
          <w:szCs w:val="24"/>
        </w:rPr>
        <w:t xml:space="preserve">Local/Dev to Test: automated CI pipeline triggers on merge to develop branch; requires passing unit tests and static analysis</w:t>
      </w:r>
    </w:p>
    <w:p>
      <w:pPr>
        <w:pStyle w:val="ListParagraph"/>
        <w:numPr>
          <w:ilvl w:val="0"/>
          <w:numId w:val="1"/>
        </w:numPr>
        <w:spacing w:after="40" w:line="312"/>
      </w:pPr>
      <w:r>
        <w:rPr>
          <w:rFonts w:ascii="Times New Roman" w:eastAsia="SimSun"/>
          <w:color w:val="182030"/>
          <w:sz w:val="24"/>
          <w:szCs w:val="24"/>
        </w:rPr>
        <w:t xml:space="preserve">Test to UAT: automated promotion on successful integration test suite completion; requires QA agent sign-off</w:t>
      </w:r>
    </w:p>
    <w:p>
      <w:pPr>
        <w:pStyle w:val="ListParagraph"/>
        <w:numPr>
          <w:ilvl w:val="0"/>
          <w:numId w:val="1"/>
        </w:numPr>
        <w:spacing w:after="40" w:line="312"/>
      </w:pPr>
      <w:r>
        <w:rPr>
          <w:rFonts w:ascii="Times New Roman" w:eastAsia="SimSun"/>
          <w:color w:val="182030"/>
          <w:sz w:val="24"/>
          <w:szCs w:val="24"/>
        </w:rPr>
        <w:t xml:space="preserve">UAT to Staging: manual promotion by Release Manager after UAT sign-off; requires UAT evidence pack</w:t>
      </w:r>
    </w:p>
    <w:p>
      <w:pPr>
        <w:pStyle w:val="ListParagraph"/>
        <w:numPr>
          <w:ilvl w:val="0"/>
          <w:numId w:val="1"/>
        </w:numPr>
        <w:spacing w:after="40" w:line="312"/>
      </w:pPr>
      <w:r>
        <w:rPr>
          <w:rFonts w:ascii="Times New Roman" w:eastAsia="SimSun"/>
          <w:color w:val="182030"/>
          <w:sz w:val="24"/>
          <w:szCs w:val="24"/>
        </w:rPr>
        <w:t xml:space="preserve">Staging to Production: manual promotion by Release Manager after pilot go-live checklist or country rollout readiness sign-off; requires signed release checklist and rollback plan</w:t>
      </w:r>
    </w:p>
    <w:p>
      <w:pPr>
        <w:spacing w:after="80" w:line="312"/>
        <w:ind w:firstLine="480"/>
        <w:jc w:val="both"/>
      </w:pPr>
      <w:r>
        <w:rPr>
          <w:rFonts w:ascii="Times New Roman" w:eastAsia="SimSun"/>
          <w:color w:val="182030"/>
          <w:sz w:val="24"/>
          <w:szCs w:val="24"/>
        </w:rPr>
        <w:t xml:space="preserve">No promotion may skip an environment. Rollback follows the reverse pathway with documented rationale.</w:t>
      </w:r>
    </w:p>
    <w:p>
      <w:pPr>
        <w:pStyle w:val="Heading1"/>
        <w:spacing w:after="120" w:before="360" w:line="312"/>
      </w:pPr>
      <w:bookmarkStart w:id="100003" w:name="_Toc100003"/>
      <w:r>
        <w:rPr>
          <w:rFonts w:ascii="Times New Roman" w:eastAsia="SimHei"/>
          <w:b/>
          <w:bCs/>
          <w:color w:val="182030"/>
        </w:rPr>
        <w:t xml:space="preserve">4. Data Handling per Environment</w:t>
      </w:r>
      <w:bookmarkEnd w:id="100003"/>
    </w:p>
    <w:p>
      <w:pPr>
        <w:spacing w:after="80" w:line="312"/>
        <w:ind w:firstLine="480"/>
        <w:jc w:val="both"/>
      </w:pPr>
      <w:r>
        <w:rPr>
          <w:rFonts w:ascii="Times New Roman" w:eastAsia="SimSun"/>
          <w:color w:val="182030"/>
          <w:sz w:val="24"/>
          <w:szCs w:val="24"/>
        </w:rPr>
        <w:t xml:space="preserve">Data handling rules are strict and non-negotiable. Local/Dev and Test environments must use only synthetic data generated by approved test data factories. No production data, anonymized or otherwise, may be present in these environments. UAT environments may use anonymized production-like data that has been processed through an approved data masking pipeline. Staging environments may use production mirror data that has been anonymized, with the masking process validated by the Red Team/Compliance Agent. Production environments contain real data and are subject to all data governance constraints including the prohibition on using lender-level or borrower-level data for model training.</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Environment</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Data Type Permitted</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Restrictions</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Local/Dev</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Synthetic data from approved test data factories</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production data of any kind</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Test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Synthetic data with controlled test fixtures</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 production data of any kind</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Anonymized production-like data via approved masking pipeline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Must be processed through approved data masking pipeline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Staging</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 mirror data (anonymized)</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Masking process validated by Red Team/Compliance Agent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Production</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Real production data</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Full data governance constraints apply; no lender/borrower-level data for model training</w:t>
            </w:r>
          </w:p>
        </w:tc>
      </w:tr>
    </w:tbl>
    <w:p>
      <w:pPr>
        <w:pStyle w:val="Heading1"/>
        <w:spacing w:after="120" w:before="360" w:line="312"/>
      </w:pPr>
      <w:bookmarkStart w:id="100004" w:name="_Toc100004"/>
      <w:r>
        <w:rPr>
          <w:rFonts w:ascii="Times New Roman" w:eastAsia="SimHei"/>
          <w:b/>
          <w:bCs/>
          <w:color w:val="182030"/>
        </w:rPr>
        <w:t xml:space="preserve">5. Secret and Configuration Management</w:t>
      </w:r>
      <w:bookmarkEnd w:id="100004"/>
    </w:p>
    <w:p>
      <w:pPr>
        <w:spacing w:after="80" w:line="312"/>
        <w:ind w:firstLine="480"/>
        <w:jc w:val="both"/>
      </w:pPr>
      <w:r>
        <w:rPr>
          <w:rFonts w:ascii="Times New Roman" w:eastAsia="SimSun"/>
          <w:color w:val="182030"/>
          <w:sz w:val="24"/>
          <w:szCs w:val="24"/>
        </w:rPr>
        <w:t xml:space="preserve">Secrets, tokens, credentials, and tenant settings must never be hardcoded. All secrets are managed through an approved secrets management solution with environment-specific vaults. Configuration is externalized and environment-driven, with no production credentials in non-production configuration files. Secret rotation follows a defined schedule, and access to production secrets requires explicit authorization from the Delivery Orchestrator and Aceli security. The DevSecOps Agent is responsible for maintaining the secrets management infrastructure and auditing access logs.</w:t>
      </w:r>
    </w:p>
    <w:p>
      <w:pPr>
        <w:pStyle w:val="Heading1"/>
        <w:spacing w:after="120" w:before="360" w:line="312"/>
      </w:pPr>
      <w:bookmarkStart w:id="100005" w:name="_Toc100005"/>
      <w:r>
        <w:rPr>
          <w:rFonts w:ascii="Times New Roman" w:eastAsia="SimHei"/>
          <w:b/>
          <w:bCs/>
          <w:color w:val="182030"/>
        </w:rPr>
        <w:t xml:space="preserve">6. Access Control and RBAC per Environment</w:t>
      </w:r>
      <w:bookmarkEnd w:id="100005"/>
    </w:p>
    <w:p>
      <w:pPr>
        <w:spacing w:after="80" w:line="312"/>
        <w:ind w:firstLine="480"/>
        <w:jc w:val="both"/>
      </w:pPr>
      <w:r>
        <w:rPr>
          <w:rFonts w:ascii="Times New Roman" w:eastAsia="SimSun"/>
          <w:color w:val="182030"/>
          <w:sz w:val="24"/>
          <w:szCs w:val="24"/>
        </w:rPr>
        <w:t xml:space="preserve">Access to each environment is governed by role-based access control aligned to the principle of least privilege.</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Role</w:t>
            </w:r>
          </w:p>
        </w:tc>
        <w:tc>
          <w:tcPr>
            <w:tcW w:type="pct" w:w="16%"/>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Local/Dev</w:t>
            </w:r>
          </w:p>
        </w:tc>
        <w:tc>
          <w:tcPr>
            <w:tcW w:type="pct" w:w="16%"/>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Test</w:t>
            </w:r>
          </w:p>
        </w:tc>
        <w:tc>
          <w:tcPr>
            <w:tcW w:type="pct" w:w="16%"/>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UAT</w:t>
            </w:r>
          </w:p>
        </w:tc>
        <w:tc>
          <w:tcPr>
            <w:tcW w:type="pct" w:w="16%"/>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Staging</w:t>
            </w:r>
          </w:p>
        </w:tc>
        <w:tc>
          <w:tcPr>
            <w:tcW w:type="pct" w:w="16%"/>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Production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Developer</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Write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Read</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QA Agent</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Read</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Write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Write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Business User</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Write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Manager</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Write + Promote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Maintain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Aceli Operations</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None</w:t>
            </w:r>
          </w:p>
        </w:tc>
        <w:tc>
          <w:tcPr>
            <w:tcW w:type="pct" w:w="16%"/>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Authorized access</w:t>
            </w:r>
          </w:p>
        </w:tc>
      </w:tr>
    </w:tbl>
    <w:p>
      <w:pPr>
        <w:spacing w:after="80" w:line="312"/>
        <w:ind w:firstLine="480"/>
        <w:jc w:val="both"/>
      </w:pPr>
      <w:r>
        <w:rPr>
          <w:rFonts w:ascii="Times New Roman" w:eastAsia="SimSun"/>
          <w:color w:val="182030"/>
          <w:sz w:val="24"/>
          <w:szCs w:val="24"/>
        </w:rPr>
        <w:t xml:space="preserve">No agent or human may access production data without explicit authorization and logged access.</w:t>
      </w:r>
    </w:p>
    <w:p>
      <w:pPr>
        <w:pStyle w:val="Heading1"/>
        <w:spacing w:after="120" w:before="360" w:line="312"/>
      </w:pPr>
      <w:bookmarkStart w:id="100006" w:name="_Toc100006"/>
      <w:r>
        <w:rPr>
          <w:rFonts w:ascii="Times New Roman" w:eastAsia="SimHei"/>
          <w:b/>
          <w:bCs/>
          <w:color w:val="182030"/>
        </w:rPr>
        <w:t xml:space="preserve">7. CI/CD Pipeline Architecture</w:t>
      </w:r>
      <w:bookmarkEnd w:id="100006"/>
    </w:p>
    <w:p>
      <w:pPr>
        <w:spacing w:after="80" w:line="312"/>
        <w:ind w:firstLine="480"/>
        <w:jc w:val="both"/>
      </w:pPr>
      <w:r>
        <w:rPr>
          <w:rFonts w:ascii="Times New Roman" w:eastAsia="SimSun"/>
          <w:color w:val="182030"/>
          <w:sz w:val="24"/>
          <w:szCs w:val="24"/>
        </w:rPr>
        <w:t xml:space="preserve">The CI/CD pipeline enforces the promotion pathway through automated gates. Every merge to the develop branch triggers: linting, static analysis, unit test execution, and build artifact creation. Successful completion promotes to the Test environment automatically. Integration test completion and QA sign-off triggers promotion to UAT. UAT sign-off enables manual promotion to Staging. Release checklist sign-off enables manual promotion to Production. Rollback is automated from Staging to UAT and from Production to Staging, with documented rationale required.</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gridCol w:w="100"/>
      </w:tblGrid>
      <w:tr>
        <w:trPr>
          <w:tblHeader/>
        </w:trPr>
        <w:tc>
          <w:tcPr>
            <w:tcW w:type="pct" w:w="2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Pipeline Stage</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Trigger</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Gate Requirements</w:t>
            </w:r>
          </w:p>
        </w:tc>
        <w:tc>
          <w:tcPr>
            <w:tcW w:type="pct" w:w="25%"/>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Promotion Type</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Build</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Merge to develop branch</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Linting, static analysis, unit tests, build artifact creation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to Test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Successful build completion</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Integration test suite completion, QA agent sign-off</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to UAT</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 Validation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 sign-off</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UAT evidence pack submitted</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Manual to Staging</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Release checklist sign-off</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Signed release checklist and rollback plan</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Manual to Production</w:t>
            </w:r>
          </w:p>
        </w:tc>
      </w:tr>
      <w:tr>
        <w:trPr>
          <w:cantSplit/>
        </w:trPr>
        <w:tc>
          <w:tcPr>
            <w:tcW w:type="pct" w:w="2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Rollback</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Issue detected post-promotion</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Documented rationale required</w:t>
            </w:r>
          </w:p>
        </w:tc>
        <w:tc>
          <w:tcPr>
            <w:tcW w:type="pct" w:w="25%"/>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Automated reverse</w:t>
            </w:r>
          </w:p>
        </w:tc>
      </w:tr>
    </w:tbl>
    <w:p>
      <w:pPr>
        <w:pStyle w:val="Heading1"/>
        <w:spacing w:after="120" w:before="360" w:line="312"/>
      </w:pPr>
      <w:bookmarkStart w:id="100007" w:name="_Toc100007"/>
      <w:r>
        <w:rPr>
          <w:rFonts w:ascii="Times New Roman" w:eastAsia="SimHei"/>
          <w:b/>
          <w:bCs/>
          <w:color w:val="182030"/>
        </w:rPr>
        <w:t xml:space="preserve">8. Environment Provisioning and Decommissioning</w:t>
      </w:r>
      <w:bookmarkEnd w:id="100007"/>
    </w:p>
    <w:p>
      <w:pPr>
        <w:spacing w:after="80" w:line="312"/>
        <w:ind w:firstLine="480"/>
        <w:jc w:val="both"/>
      </w:pPr>
      <w:r>
        <w:rPr>
          <w:rFonts w:ascii="Times New Roman" w:eastAsia="SimSun"/>
          <w:color w:val="182030"/>
          <w:sz w:val="24"/>
          <w:szCs w:val="24"/>
        </w:rPr>
        <w:t xml:space="preserve">Environments are provisioned using infrastructure-as-code templates maintained by the DevSecOps Agent. No manual environment setup is permitted. Environment provisioning includes:</w:t>
      </w:r>
    </w:p>
    <w:p>
      <w:pPr>
        <w:pStyle w:val="ListParagraph"/>
        <w:numPr>
          <w:ilvl w:val="0"/>
          <w:numId w:val="1"/>
        </w:numPr>
        <w:spacing w:after="40" w:line="312"/>
      </w:pPr>
      <w:r>
        <w:rPr>
          <w:rFonts w:ascii="Times New Roman" w:eastAsia="SimSun"/>
          <w:color w:val="182030"/>
          <w:sz w:val="24"/>
          <w:szCs w:val="24"/>
        </w:rPr>
        <w:t xml:space="preserve">Compute and storage resources</w:t>
      </w:r>
    </w:p>
    <w:p>
      <w:pPr>
        <w:pStyle w:val="ListParagraph"/>
        <w:numPr>
          <w:ilvl w:val="0"/>
          <w:numId w:val="1"/>
        </w:numPr>
        <w:spacing w:after="40" w:line="312"/>
      </w:pPr>
      <w:r>
        <w:rPr>
          <w:rFonts w:ascii="Times New Roman" w:eastAsia="SimSun"/>
          <w:color w:val="182030"/>
          <w:sz w:val="24"/>
          <w:szCs w:val="24"/>
        </w:rPr>
        <w:t xml:space="preserve">Network configuration and firewall rules</w:t>
      </w:r>
    </w:p>
    <w:p>
      <w:pPr>
        <w:pStyle w:val="ListParagraph"/>
        <w:numPr>
          <w:ilvl w:val="0"/>
          <w:numId w:val="1"/>
        </w:numPr>
        <w:spacing w:after="40" w:line="312"/>
      </w:pPr>
      <w:r>
        <w:rPr>
          <w:rFonts w:ascii="Times New Roman" w:eastAsia="SimSun"/>
          <w:color w:val="182030"/>
          <w:sz w:val="24"/>
          <w:szCs w:val="24"/>
        </w:rPr>
        <w:t xml:space="preserve">Monitoring and logging agents</w:t>
      </w:r>
    </w:p>
    <w:p>
      <w:pPr>
        <w:pStyle w:val="ListParagraph"/>
        <w:numPr>
          <w:ilvl w:val="0"/>
          <w:numId w:val="1"/>
        </w:numPr>
        <w:spacing w:after="40" w:line="312"/>
      </w:pPr>
      <w:r>
        <w:rPr>
          <w:rFonts w:ascii="Times New Roman" w:eastAsia="SimSun"/>
          <w:color w:val="182030"/>
          <w:sz w:val="24"/>
          <w:szCs w:val="24"/>
        </w:rPr>
        <w:t xml:space="preserve">Security baseline configuration</w:t>
      </w:r>
    </w:p>
    <w:p>
      <w:pPr>
        <w:spacing w:after="80" w:line="312"/>
        <w:ind w:firstLine="480"/>
        <w:jc w:val="both"/>
      </w:pPr>
      <w:r>
        <w:rPr>
          <w:rFonts w:ascii="Times New Roman" w:eastAsia="SimSun"/>
          <w:color w:val="182030"/>
          <w:sz w:val="24"/>
          <w:szCs w:val="24"/>
        </w:rPr>
        <w:t xml:space="preserve">Decommissioning follows an approved process with data wipe verification, resource release, and audit log preservation.</w:t>
      </w:r>
    </w:p>
    <w:tbl>
      <w:tblPr>
        <w:tblW w:type="pct" w:w="100%"/>
        <w:tblBorders>
          <w:top w:val="single" w:color="D4875A" w:sz="1"/>
          <w:left w:val="single" w:color="D4875A" w:sz="1"/>
          <w:bottom w:val="single" w:color="D4875A" w:sz="1"/>
          <w:right w:val="single" w:color="D4875A" w:sz="1"/>
          <w:insideH w:val="single" w:color="DDD0C8" w:sz="1"/>
          <w:insideV w:val="single" w:color="DDD0C8" w:sz="1"/>
        </w:tblBorders>
      </w:tblPr>
      <w:tblGrid>
        <w:gridCol w:w="100"/>
        <w:gridCol w:w="100"/>
        <w:gridCol w:w="100"/>
      </w:tblGrid>
      <w:tr>
        <w:trPr>
          <w:tblHeader/>
        </w:trPr>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Provisioning Step</w:t>
            </w:r>
          </w:p>
        </w:tc>
        <w:tc>
          <w:tcPr>
            <w:tcW w:type="pct" w:w="4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Description</w:t>
            </w:r>
          </w:p>
        </w:tc>
        <w:tc>
          <w:tcPr>
            <w:tcW w:type="pct" w:w="30%"/>
            <w:tcBorders>
              <w:top w:val="single" w:color="D4875A" w:sz="1"/>
              <w:left w:val="single" w:color="D4875A" w:sz="1"/>
              <w:bottom w:val="single" w:color="D4875A" w:sz="1"/>
              <w:right w:val="single" w:color="D4875A" w:sz="1"/>
            </w:tcBorders>
            <w:shd w:fill="D4875A" w:val="clear"/>
          </w:tcPr>
          <w:p>
            <w:pPr>
              <w:spacing w:after="40" w:before="40" w:line="312"/>
            </w:pPr>
            <w:r>
              <w:rPr>
                <w:rFonts w:ascii="Times New Roman" w:eastAsia="SimHei"/>
                <w:b/>
                <w:bCs/>
                <w:color w:val="FFFFFF"/>
                <w:sz w:val="22"/>
                <w:szCs w:val="22"/>
              </w:rPr>
              <w:t xml:space="preserve">Responsible</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Compute and Storage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Provision required compute instances and storage volumes</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Network Configuration</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Configure VPC, subnets, firewall rules, and access controls</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Monitoring and Logging</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Deploy monitoring agents, log collectors, and alerting rules</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Security Baseline</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Apply security hardening, patch baseline, and compliance checks</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r>
        <w:trPr>
          <w:cantSplit/>
        </w:trPr>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Decommissioning</w:t>
            </w:r>
          </w:p>
        </w:tc>
        <w:tc>
          <w:tcPr>
            <w:tcW w:type="pct" w:w="4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Data wipe verification, resource release, and audit log preservation</w:t>
            </w:r>
          </w:p>
        </w:tc>
        <w:tc>
          <w:tcPr>
            <w:tcW w:type="pct" w:w="30%"/>
            <w:tcBorders>
              <w:top w:val="single" w:color="DDD0C8" w:sz="1"/>
              <w:left w:val="single" w:color="DDD0C8" w:sz="1"/>
              <w:bottom w:val="single" w:color="DDD0C8" w:sz="1"/>
              <w:right w:val="single" w:color="DDD0C8" w:sz="1"/>
            </w:tcBorders>
            <w:shd w:fill="FFFFFF" w:val="clear"/>
          </w:tcPr>
          <w:p>
            <w:pPr>
              <w:spacing w:after="40" w:before="40" w:line="312"/>
            </w:pPr>
            <w:r>
              <w:rPr>
                <w:rFonts w:ascii="Times New Roman" w:eastAsia="SimSun"/>
                <w:color w:val="182030"/>
                <w:sz w:val="22"/>
                <w:szCs w:val="22"/>
              </w:rPr>
              <w:t xml:space="preserve">DevSecOps Agent</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08080"/>
        <w:sz w:val="18"/>
        <w:szCs w:val="18"/>
      </w:rPr>
      <w:t xml:space="preserve">Aceli LAT Environment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182030"/>
      <w:sz w:val="32"/>
      <w:szCs w:val="32"/>
    </w:rPr>
  </w:style>
  <w:style w:type="paragraph" w:styleId="Heading2">
    <w:name w:val="Heading 2"/>
    <w:basedOn w:val="Normal"/>
    <w:next w:val="Normal"/>
    <w:qFormat/>
    <w:pPr>
      <w:spacing w:after="120" w:before="240" w:line="312"/>
      <w:outlineLvl w:val="1"/>
    </w:pPr>
    <w:rPr>
      <w:rFonts w:ascii="Times New Roman" w:eastAsia="SimHei"/>
      <w:b/>
      <w:bCs/>
      <w:color w:val="182030"/>
      <w:sz w:val="28"/>
      <w:szCs w:val="28"/>
    </w:rPr>
  </w:style>
  <w:style w:type="paragraph" w:styleId="Heading3">
    <w:name w:val="Heading 3"/>
    <w:basedOn w:val="Normal"/>
    <w:next w:val="Normal"/>
    <w:qFormat/>
    <w:pPr>
      <w:spacing w:after="100" w:before="200" w:line="312"/>
      <w:outlineLvl w:val="2"/>
    </w:pPr>
    <w:rPr>
      <w:rFonts w:ascii="Times New Roman" w:eastAsia="SimHei"/>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2026-06-12T05:17:19.730Z</dcterms:created>
  <dcterms:modified xsi:type="dcterms:W3CDTF">2026-06-12T05:17:19.730Z</dcterms:modified>
</cp:coreProperties>
</file>

<file path=docProps/custom.xml><?xml version="1.0" encoding="utf-8"?>
<Properties xmlns="http://schemas.openxmlformats.org/officeDocument/2006/custom-properties" xmlns:vt="http://schemas.openxmlformats.org/officeDocument/2006/docPropsVTypes"/>
</file>