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Borders>
              <w:top w:val="none" w:color="FFFFFF" w:sz="0"/>
              <w:left w:val="none" w:color="FFFFFF" w:sz="0"/>
              <w:bottom w:val="none" w:color="FFFFFF" w:sz="0"/>
              <w:right w:val="none" w:color="FFFFFF" w:sz="0"/>
            </w:tcBorders>
            <w:shd w:val="clear"/>
          </w:tcPr>
          <w:p>
            <w:pPr>
              <w:spacing w:before="3588"/>
            </w:pPr>
          </w:p>
          <w:p>
            <w:pPr>
              <w:pBdr>
                <w:bottom w:val="single" w:sz="6" w:space="8"/>
              </w:pBdr>
              <w:spacing w:after="500"/>
              <w:ind w:left="1200" w:right="800"/>
            </w:pPr>
            <w:r>
              <w:rPr>
                <w:rFonts w:ascii="Calibri" w:eastAsia="SimHei"/>
                <w:spacing w:val="40"/>
                <w:sz w:val="18"/>
                <w:szCs w:val="18"/>
              </w:rPr>
              <w:t xml:space="preserve">G  O  V  E  R  N  A  N  C  E     M  O  D  E  L</w:t>
            </w:r>
          </w:p>
          <w:p>
            <w:pPr>
              <w:spacing w:after="100" w:line="920" w:lineRule="atLeast"/>
              <w:ind w:left="1200"/>
            </w:pPr>
            <w:r>
              <w:rPr>
                <w:rFonts w:ascii="Arial" w:eastAsia="SimHei"/>
                <w:b/>
                <w:bCs/>
                <w:color w:val="FFFFFF"/>
                <w:sz w:val="80"/>
                <w:szCs w:val="80"/>
              </w:rPr>
              <w:t xml:space="preserve">Aceli LAT</w:t>
            </w:r>
          </w:p>
          <w:p>
            <w:pPr>
              <w:spacing w:after="100" w:line="920" w:lineRule="atLeast"/>
              <w:ind w:left="1200"/>
            </w:pPr>
            <w:r>
              <w:rPr>
                <w:rFonts w:ascii="Arial" w:eastAsia="SimHei"/>
                <w:b/>
                <w:bCs/>
                <w:color w:val="FFFFFF"/>
                <w:sz w:val="80"/>
                <w:szCs w:val="80"/>
              </w:rPr>
              <w:t xml:space="preserve">Governance</w:t>
            </w:r>
          </w:p>
          <w:p>
            <w:pPr>
              <w:spacing w:after="300" w:line="920" w:lineRule="atLeast"/>
              <w:ind w:left="1200"/>
            </w:pPr>
            <w:r>
              <w:rPr>
                <w:rFonts w:ascii="Arial" w:eastAsia="SimHei"/>
                <w:b/>
                <w:bCs/>
                <w:color w:val="FFFFFF"/>
                <w:sz w:val="80"/>
                <w:szCs w:val="80"/>
              </w:rPr>
              <w:t xml:space="preserve">Model</w:t>
            </w:r>
          </w:p>
          <w:p>
            <w:pPr>
              <w:spacing w:after="800"/>
              <w:ind w:left="1200"/>
            </w:pPr>
            <w:r>
              <w:rPr>
                <w:rFonts w:ascii="Arial" w:eastAsia="Microsoft YaHei"/>
                <w:color w:val="B0B8C0"/>
                <w:sz w:val="24"/>
                <w:szCs w:val="24"/>
              </w:rPr>
              <w:t xml:space="preserve">Decision-Making Framework and Oversight Mechanisms</w:t>
            </w:r>
          </w:p>
          <w:p>
            <w:pPr>
              <w:pBdr>
                <w:left w:val="single" w:sz="8" w:space="12"/>
              </w:pBdr>
              <w:spacing w:after="80"/>
              <w:ind w:left="1400"/>
            </w:pPr>
            <w:r>
              <w:rPr>
                <w:rFonts w:ascii="Arial" w:eastAsia="Microsoft YaHei"/>
                <w:color w:val="90989F"/>
                <w:sz w:val="24"/>
                <w:szCs w:val="24"/>
              </w:rPr>
              <w:t xml:space="preserve">Project: Aceli Africa LAT Platform</w:t>
            </w:r>
          </w:p>
          <w:p>
            <w:pPr>
              <w:pBdr>
                <w:left w:val="single" w:sz="8" w:space="12"/>
              </w:pBdr>
              <w:spacing w:after="80"/>
              <w:ind w:left="1400"/>
            </w:pPr>
            <w:r>
              <w:rPr>
                <w:rFonts w:ascii="Arial" w:eastAsia="Microsoft YaHei"/>
                <w:color w:val="90989F"/>
                <w:sz w:val="24"/>
                <w:szCs w:val="24"/>
              </w:rPr>
              <w:t xml:space="preserve">Version: 1.0</w:t>
            </w:r>
          </w:p>
          <w:p>
            <w:pPr>
              <w:pBdr>
                <w:left w:val="single" w:sz="8" w:space="12"/>
              </w:pBdr>
              <w:spacing w:after="80"/>
              <w:ind w:left="1400"/>
            </w:pPr>
            <w:r>
              <w:rPr>
                <w:rFonts w:ascii="Arial" w:eastAsia="Microsoft YaHei"/>
                <w:color w:val="90989F"/>
                <w:sz w:val="24"/>
                <w:szCs w:val="24"/>
              </w:rPr>
              <w:t xml:space="preserve">Date: 2026-06-12</w:t>
            </w:r>
          </w:p>
          <w:p>
            <w:pPr>
              <w:pBdr>
                <w:left w:val="single" w:sz="8" w:space="12"/>
              </w:pBdr>
              <w:spacing w:after="80"/>
              <w:ind w:left="1400"/>
            </w:pPr>
            <w:r>
              <w:rPr>
                <w:rFonts w:ascii="Arial" w:eastAsia="Microsoft YaHei"/>
                <w:color w:val="90989F"/>
                <w:sz w:val="24"/>
                <w:szCs w:val="24"/>
              </w:rPr>
              <w:t xml:space="preserve">Classification: Confidential</w:t>
            </w:r>
          </w:p>
          <w:p>
            <w:pPr>
              <w:spacing w:before="3588"/>
            </w:pPr>
          </w:p>
          <w:p>
            <w:pPr>
              <w:pBdr>
                <w:top w:val="single" w:sz="2" w:space="8"/>
              </w:pBdr>
              <w:spacing w:before="200"/>
              <w:ind w:left="1200" w:right="800"/>
            </w:pPr>
            <w:r>
              <w:rPr>
                <w:rFonts w:ascii="Arial"/>
                <w:color w:val="687078"/>
                <w:sz w:val="16"/>
                <w:szCs w:val="16"/>
              </w:rPr>
              <w:t xml:space="preserve">Aceli Africa</w:t>
            </w:r>
            <w:r>
              <w:t xml:space="preserve">                                        </w:t>
            </w:r>
            <w:r>
              <w:rPr>
                <w:rFonts w:ascii="Arial"/>
                <w:color w:val="687078"/>
                <w:sz w:val="16"/>
                <w:szCs w:val="16"/>
              </w:rPr>
              <w:t xml:space="preserve">Sprint 0 Deliverable</w:t>
            </w:r>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eastAsia="SimHei"/>
          <w:b/>
          <w:bCs/>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Governance Purpose</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Governance Structure</w:t>
            </w:r>
            <w:r>
              <w:tab/>
            </w:r>
            <w:r>
              <w:fldChar w:fldCharType="begin"/>
            </w:r>
            <w:r>
              <w:instrText xml:space="preserve"> PAGEREF _Toc100001 \h </w:instrText>
            </w:r>
            <w:r>
              <w:fldChar w:fldCharType="separate"/>
            </w:r>
            <w:r>
              <w:t>1</w:t>
            </w:r>
            <w:r>
              <w:fldChar w:fldCharType="end"/>
            </w:r>
          </w:hyperlink>
        </w:p>
        <w:p>
          <w:pPr>
            <w:pStyle w:val="9"/>
            <w:tabs>
              <w:tab w:val="right" w:leader="dot" w:pos="9026"/>
            </w:tabs>
            <w:spacing w:before="120" w:after="60"/>
          </w:pPr>
          <w:hyperlink w:anchor="_Toc100002" w:history="1">
            <w:r>
              <w:rPr>
                <w:rStyle w:val="Hyperlink"/>
              </w:rPr>
              <w:t>3. Approval Authority Matrix</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4. Quality Gate Enforcement</w:t>
            </w:r>
            <w:r>
              <w:tab/>
            </w:r>
            <w:r>
              <w:fldChar w:fldCharType="begin"/>
            </w:r>
            <w:r>
              <w:instrText xml:space="preserve"> PAGEREF _Toc100003 \h </w:instrText>
            </w:r>
            <w:r>
              <w:fldChar w:fldCharType="separate"/>
            </w:r>
            <w:r>
              <w:t>2</w:t>
            </w:r>
            <w:r>
              <w:fldChar w:fldCharType="end"/>
            </w:r>
          </w:hyperlink>
        </w:p>
        <w:p>
          <w:pPr>
            <w:pStyle w:val="9"/>
            <w:tabs>
              <w:tab w:val="right" w:leader="dot" w:pos="9026"/>
            </w:tabs>
            <w:spacing w:before="120" w:after="60"/>
          </w:pPr>
          <w:hyperlink w:anchor="_Toc100004" w:history="1">
            <w:r>
              <w:rPr>
                <w:rStyle w:val="Hyperlink"/>
              </w:rPr>
              <w:t>5. Change Control</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6. Risk and Issue Management</w:t>
            </w:r>
            <w:r>
              <w:tab/>
            </w:r>
            <w:r>
              <w:fldChar w:fldCharType="begin"/>
            </w:r>
            <w:r>
              <w:instrText xml:space="preserve"> PAGEREF _Toc100005 \h </w:instrText>
            </w:r>
            <w:r>
              <w:fldChar w:fldCharType="separate"/>
            </w:r>
            <w:r>
              <w:t>4</w:t>
            </w:r>
            <w:r>
              <w:fldChar w:fldCharType="end"/>
            </w:r>
          </w:hyperlink>
        </w:p>
        <w:p>
          <w:pPr>
            <w:pStyle w:val="9"/>
            <w:tabs>
              <w:tab w:val="right" w:leader="dot" w:pos="9026"/>
            </w:tabs>
            <w:spacing w:before="120" w:after="60"/>
          </w:pPr>
          <w:hyperlink w:anchor="_Toc100006" w:history="1">
            <w:r>
              <w:rPr>
                <w:rStyle w:val="Hyperlink"/>
              </w:rPr>
              <w:t>7. Compliance and Audit</w:t>
            </w:r>
            <w:r>
              <w:tab/>
            </w:r>
            <w:r>
              <w:fldChar w:fldCharType="begin"/>
            </w:r>
            <w:r>
              <w:instrText xml:space="preserve"> PAGEREF _Toc100006 \h </w:instrText>
            </w:r>
            <w:r>
              <w:fldChar w:fldCharType="separate"/>
            </w:r>
            <w:r>
              <w:t>4</w:t>
            </w:r>
            <w:r>
              <w:fldChar w:fldCharType="end"/>
            </w:r>
          </w:hyperlink>
        </w:p>
        <w:p>
          <w:pPr>
            <w:pStyle w:val="9"/>
            <w:tabs>
              <w:tab w:val="right" w:leader="dot" w:pos="9026"/>
            </w:tabs>
            <w:spacing w:before="120" w:after="60"/>
          </w:pPr>
          <w:hyperlink w:anchor="_Toc100007" w:history="1">
            <w:r>
              <w:rPr>
                <w:rStyle w:val="Hyperlink"/>
              </w:rPr>
              <w:t>8. Meeting and Reporting Cadence</w:t>
            </w:r>
            <w:r>
              <w:tab/>
            </w:r>
            <w:r>
              <w:fldChar w:fldCharType="begin"/>
            </w:r>
            <w:r>
              <w:instrText xml:space="preserve"> PAGEREF _Toc100007 \h </w:instrText>
            </w:r>
            <w:r>
              <w:fldChar w:fldCharType="separate"/>
            </w:r>
            <w:r>
              <w:t>5</w:t>
            </w:r>
            <w:r>
              <w:fldChar w:fldCharType="end"/>
            </w:r>
          </w:hyperlink>
        </w:p>
        <w:p>
          <w:pPr>
            <w:pStyle w:val="9"/>
            <w:tabs>
              <w:tab w:val="right" w:leader="dot" w:pos="9026"/>
            </w:tabs>
            <w:spacing w:before="120" w:after="60"/>
          </w:pPr>
          <w:hyperlink w:anchor="_Toc100008" w:history="1">
            <w:r>
              <w:rPr>
                <w:rStyle w:val="Hyperlink"/>
              </w:rPr>
              <w:t>9. Escalation and Resolution</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9.1 Escalation Response Times</w:t>
            </w:r>
            <w:r>
              <w:tab/>
            </w:r>
            <w:r>
              <w:fldChar w:fldCharType="begin"/>
            </w:r>
            <w:r>
              <w:instrText xml:space="preserve"> PAGEREF _Toc100009 \h </w:instrText>
            </w:r>
            <w:r>
              <w:fldChar w:fldCharType="separate"/>
            </w:r>
            <w:r>
              <w:t>6</w:t>
            </w:r>
            <w:r>
              <w:fldChar w:fldCharType="end"/>
            </w:r>
          </w:hyperlink>
        </w:p>
        <w:p>
          <w:r>
            <w:fldChar w:fldCharType="end"/>
          </w:r>
        </w:p>
      </w:sdtContent>
    </w:sdt>
    <w:p>
      <w:pPr>
        <w:spacing w:before="200"/>
      </w:pPr>
      <w:r>
        <w:rPr>
          <w:i/>
          <w:iCs/>
          <w:color w:val="888888"/>
          <w:sz w:val="18"/>
          <w:szCs w:val="18"/>
        </w:rPr>
        <w:t xml:space="preserve">Note: This Table of Contents is generated via field codes. To ensure page number accuracy after editing, please right-click the TOC and select "Update Field."</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20" w:before="360" w:line="312"/>
      </w:pPr>
      <w:bookmarkStart w:id="100000" w:name="_Toc100000"/>
      <w:r>
        <w:rPr>
          <w:rFonts w:ascii="Times New Roman" w:eastAsia="SimHei"/>
          <w:b/>
          <w:bCs/>
          <w:color w:val="182030"/>
        </w:rPr>
        <w:t xml:space="preserve">1. Governance Purpose</w:t>
      </w:r>
      <w:bookmarkEnd w:id="100000"/>
    </w:p>
    <w:p>
      <w:pPr>
        <w:spacing w:after="80" w:line="312"/>
        <w:ind w:firstLine="480"/>
        <w:jc w:val="both"/>
      </w:pPr>
      <w:r>
        <w:rPr>
          <w:rFonts w:ascii="Times New Roman" w:eastAsia="SimSun"/>
          <w:color w:val="182030"/>
          <w:sz w:val="24"/>
          <w:szCs w:val="24"/>
        </w:rPr>
        <w:t xml:space="preserve">This Governance Model defines the decision-making framework, authority structures, approval workflows, and oversight mechanisms for the Aceli LAT production build. It ensures that all delivery activities comply with the RFP-aligned delivery constraints, the mandatory agent rules, and the quality gates defined in the Sprint Plan. Governance is not bureaucratic overhead; it is the mechanism by which the program maintains audit readiness, data integrity, and operational safety while delivering at speed.</w:t>
      </w:r>
    </w:p>
    <w:p>
      <w:pPr>
        <w:pStyle w:val="Heading1"/>
        <w:spacing w:after="120" w:before="360" w:line="312"/>
      </w:pPr>
      <w:bookmarkStart w:id="100001" w:name="_Toc100001"/>
      <w:r>
        <w:rPr>
          <w:rFonts w:ascii="Times New Roman" w:eastAsia="SimHei"/>
          <w:b/>
          <w:bCs/>
          <w:color w:val="182030"/>
        </w:rPr>
        <w:t xml:space="preserve">2. Governance Structure</w:t>
      </w:r>
      <w:bookmarkEnd w:id="100001"/>
    </w:p>
    <w:p>
      <w:pPr>
        <w:spacing w:after="80" w:line="312"/>
        <w:ind w:firstLine="480"/>
        <w:jc w:val="both"/>
      </w:pPr>
      <w:r>
        <w:rPr>
          <w:rFonts w:ascii="Times New Roman" w:eastAsia="SimSun"/>
          <w:color w:val="182030"/>
          <w:sz w:val="24"/>
          <w:szCs w:val="24"/>
        </w:rPr>
        <w:t xml:space="preserve">Three-tier governance: Strategic level (Aceli program sponsor and leadership for scope, budget, timeline, and contractual decisions; meets at phase gates and on escalation); Tactical level (Delivery Orchestrator, Solution Architect, and Product Owner for architecture, integration, risk, and cross-sprint dependency decisions; meets weekly); Operational level (individual agent roles for day-to-day technical decisions within their approved scope and confidence thresholds; continuous with daily automated sync).</w:t>
      </w:r>
    </w:p>
    <w:tbl>
      <w:tblPr>
        <w:tblW w:type="pct" w:w="100%"/>
        <w:tblBorders>
          <w:top w:val="single" w:color="D4875A" w:sz="1"/>
          <w:left w:val="single" w:color="D4875A" w:sz="1"/>
          <w:bottom w:val="single" w:color="D4875A" w:sz="1"/>
          <w:right w:val="single" w:color="D4875A" w:sz="1"/>
          <w:insideH w:val="single" w:color="DDD0C8" w:sz="1"/>
          <w:insideV w:val="single" w:color="DDD0C8" w:sz="1"/>
        </w:tblBorders>
      </w:tblPr>
      <w:tblGrid>
        <w:gridCol w:w="100"/>
        <w:gridCol w:w="100"/>
        <w:gridCol w:w="100"/>
      </w:tblGrid>
      <w:tr>
        <w:trPr>
          <w:tblHeader/>
        </w:trPr>
        <w:tc>
          <w:tcPr>
            <w:tcW w:type="pct" w:w="20%"/>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Level</w:t>
            </w:r>
          </w:p>
        </w:tc>
        <w:tc>
          <w:tcPr>
            <w:tcW w:type="pct" w:w="35%"/>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Participants</w:t>
            </w:r>
          </w:p>
        </w:tc>
        <w:tc>
          <w:tcPr>
            <w:tcW w:type="pct" w:w="45%"/>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Decisions and Cadence</w:t>
            </w:r>
          </w:p>
        </w:tc>
      </w:tr>
      <w:tr>
        <w:trPr>
          <w:cantSplit/>
        </w:trPr>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Strategic</w:t>
            </w:r>
          </w:p>
        </w:tc>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Aceli Program Sponsor and Leadership</w:t>
            </w:r>
          </w:p>
        </w:tc>
        <w:tc>
          <w:tcPr>
            <w:tcW w:type="pct" w:w="4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Scope, budget, timeline, and contractual decisions; meets at phase gates and on escalation</w:t>
            </w:r>
          </w:p>
        </w:tc>
      </w:tr>
      <w:tr>
        <w:trPr>
          <w:cantSplit/>
        </w:trPr>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Tactical</w:t>
            </w:r>
          </w:p>
        </w:tc>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Delivery Orchestrator, Solution Architect, Product Owner</w:t>
            </w:r>
          </w:p>
        </w:tc>
        <w:tc>
          <w:tcPr>
            <w:tcW w:type="pct" w:w="4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Architecture, integration, risk, and cross-sprint dependency decisions; meets weekly</w:t>
            </w:r>
          </w:p>
        </w:tc>
      </w:tr>
      <w:tr>
        <w:trPr>
          <w:cantSplit/>
        </w:trPr>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Operational</w:t>
            </w:r>
          </w:p>
        </w:tc>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Individual Agent Roles</w:t>
            </w:r>
          </w:p>
        </w:tc>
        <w:tc>
          <w:tcPr>
            <w:tcW w:type="pct" w:w="4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Day-to-day technical decisions within approved scope and confidence thresholds; continuous with daily automated sync</w:t>
            </w:r>
          </w:p>
        </w:tc>
      </w:tr>
    </w:tbl>
    <w:p>
      <w:pPr>
        <w:pStyle w:val="Heading1"/>
        <w:spacing w:after="120" w:before="360" w:line="312"/>
      </w:pPr>
      <w:bookmarkStart w:id="100002" w:name="_Toc100002"/>
      <w:r>
        <w:rPr>
          <w:rFonts w:ascii="Times New Roman" w:eastAsia="SimHei"/>
          <w:b/>
          <w:bCs/>
          <w:color w:val="182030"/>
        </w:rPr>
        <w:t xml:space="preserve">3. Approval Authority Matrix</w:t>
      </w:r>
      <w:bookmarkEnd w:id="100002"/>
    </w:p>
    <w:p>
      <w:pPr>
        <w:spacing w:after="80" w:line="312"/>
        <w:ind w:firstLine="480"/>
        <w:jc w:val="both"/>
      </w:pPr>
      <w:r>
        <w:rPr>
          <w:rFonts w:ascii="Times New Roman" w:eastAsia="SimSun"/>
          <w:color w:val="182030"/>
          <w:sz w:val="24"/>
          <w:szCs w:val="24"/>
        </w:rPr>
        <w:t xml:space="preserve">The following matrix defines the approval authority for each decision category, specifying the required authority level, approvers, and escalation path.</w:t>
      </w:r>
    </w:p>
    <w:tbl>
      <w:tblPr>
        <w:tblW w:type="pct" w:w="100%"/>
        <w:tblBorders>
          <w:top w:val="single" w:color="D4875A" w:sz="1"/>
          <w:left w:val="single" w:color="D4875A" w:sz="1"/>
          <w:bottom w:val="single" w:color="D4875A" w:sz="1"/>
          <w:right w:val="single" w:color="D4875A" w:sz="1"/>
          <w:insideH w:val="single" w:color="DDD0C8" w:sz="1"/>
          <w:insideV w:val="single" w:color="DDD0C8" w:sz="1"/>
        </w:tblBorders>
      </w:tblPr>
      <w:tblGrid>
        <w:gridCol w:w="100"/>
        <w:gridCol w:w="100"/>
        <w:gridCol w:w="100"/>
        <w:gridCol w:w="100"/>
      </w:tblGrid>
      <w:tr>
        <w:trPr>
          <w:tblHeader/>
        </w:trPr>
        <w:tc>
          <w:tcPr>
            <w:tcW w:type="pct" w:w="25%"/>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Decision Category</w:t>
            </w:r>
          </w:p>
        </w:tc>
        <w:tc>
          <w:tcPr>
            <w:tcW w:type="pct" w:w="20%"/>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Authority Level</w:t>
            </w:r>
          </w:p>
        </w:tc>
        <w:tc>
          <w:tcPr>
            <w:tcW w:type="pct" w:w="30%"/>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Approval Required From</w:t>
            </w:r>
          </w:p>
        </w:tc>
        <w:tc>
          <w:tcPr>
            <w:tcW w:type="pct" w:w="25%"/>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Escalation Path</w:t>
            </w:r>
          </w:p>
        </w:tc>
      </w:tr>
      <w:tr>
        <w:trPr>
          <w:cantSplit/>
        </w:trPr>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Scope change</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Strategic</w:t>
            </w:r>
          </w:p>
        </w:tc>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Program Sponsor approval</w:t>
            </w:r>
          </w:p>
        </w:tc>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Aceli Leadership</w:t>
            </w:r>
          </w:p>
        </w:tc>
      </w:tr>
      <w:tr>
        <w:trPr>
          <w:cantSplit/>
        </w:trPr>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Architecture change</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Tactical</w:t>
            </w:r>
          </w:p>
        </w:tc>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Solution Architect + Delivery Orchestrator</w:t>
            </w:r>
          </w:p>
        </w:tc>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Program Sponsor</w:t>
            </w:r>
          </w:p>
        </w:tc>
      </w:tr>
      <w:tr>
        <w:trPr>
          <w:cantSplit/>
        </w:trPr>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Salesforce write-back logic</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Tactical</w:t>
            </w:r>
          </w:p>
        </w:tc>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Architect + QA + Compliance</w:t>
            </w:r>
          </w:p>
        </w:tc>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Program Sponsor</w:t>
            </w:r>
          </w:p>
        </w:tc>
      </w:tr>
      <w:tr>
        <w:trPr>
          <w:cantSplit/>
        </w:trPr>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AI workflow change</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Tactical</w:t>
            </w:r>
          </w:p>
        </w:tc>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AI/ML Agent + Architect</w:t>
            </w:r>
          </w:p>
        </w:tc>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Delivery Orchestrator</w:t>
            </w:r>
          </w:p>
        </w:tc>
      </w:tr>
      <w:tr>
        <w:trPr>
          <w:cantSplit/>
        </w:trPr>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Data migration execution</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Tactical</w:t>
            </w:r>
          </w:p>
        </w:tc>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Migration Agent + QA + Delivery Orchestrator</w:t>
            </w:r>
          </w:p>
        </w:tc>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Program Sponsor</w:t>
            </w:r>
          </w:p>
        </w:tc>
      </w:tr>
      <w:tr>
        <w:trPr>
          <w:cantSplit/>
        </w:trPr>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Production release</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Tactical</w:t>
            </w:r>
          </w:p>
        </w:tc>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Release Manager + Delivery Orchestrator + QA</w:t>
            </w:r>
          </w:p>
        </w:tc>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Program Sponsor</w:t>
            </w:r>
          </w:p>
        </w:tc>
      </w:tr>
      <w:tr>
        <w:trPr>
          <w:cantSplit/>
        </w:trPr>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Security finding remediation</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Operational/Tactical</w:t>
            </w:r>
          </w:p>
        </w:tc>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DevSecOps + Architect</w:t>
            </w:r>
          </w:p>
        </w:tc>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Delivery Orchestrator</w:t>
            </w:r>
          </w:p>
        </w:tc>
      </w:tr>
      <w:tr>
        <w:trPr>
          <w:cantSplit/>
        </w:trPr>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Documentation update</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Operational</w:t>
            </w:r>
          </w:p>
        </w:tc>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Technical Writer</w:t>
            </w:r>
          </w:p>
        </w:tc>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Delivery Orchestrator</w:t>
            </w:r>
          </w:p>
        </w:tc>
      </w:tr>
      <w:tr>
        <w:trPr>
          <w:cantSplit/>
        </w:trPr>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Environment change</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Operational</w:t>
            </w:r>
          </w:p>
        </w:tc>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DevSecOps</w:t>
            </w:r>
          </w:p>
        </w:tc>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Solution Architect</w:t>
            </w:r>
          </w:p>
        </w:tc>
      </w:tr>
    </w:tbl>
    <w:p>
      <w:pPr>
        <w:pStyle w:val="Heading1"/>
        <w:spacing w:after="120" w:before="360" w:line="312"/>
      </w:pPr>
      <w:bookmarkStart w:id="100003" w:name="_Toc100003"/>
      <w:r>
        <w:rPr>
          <w:rFonts w:ascii="Times New Roman" w:eastAsia="SimHei"/>
          <w:b/>
          <w:bCs/>
          <w:color w:val="182030"/>
        </w:rPr>
        <w:t xml:space="preserve">4. Quality Gate Enforcement</w:t>
      </w:r>
      <w:bookmarkEnd w:id="100003"/>
    </w:p>
    <w:p>
      <w:pPr>
        <w:spacing w:after="80" w:line="312"/>
        <w:ind w:firstLine="480"/>
        <w:jc w:val="both"/>
      </w:pPr>
      <w:r>
        <w:rPr>
          <w:rFonts w:ascii="Times New Roman" w:eastAsia="SimSun"/>
          <w:color w:val="182030"/>
          <w:sz w:val="24"/>
          <w:szCs w:val="24"/>
        </w:rPr>
        <w:t xml:space="preserve">Every sprint must pass these gates before the sprint increment is accepted:</w:t>
      </w:r>
    </w:p>
    <w:p>
      <w:pPr>
        <w:pStyle w:val="ListParagraph"/>
        <w:numPr>
          <w:ilvl w:val="0"/>
          <w:numId w:val="1"/>
        </w:numPr>
        <w:spacing w:after="40" w:line="312"/>
      </w:pPr>
      <w:r>
        <w:rPr>
          <w:rFonts w:ascii="Times New Roman" w:eastAsia="SimSun"/>
          <w:color w:val="182030"/>
          <w:sz w:val="24"/>
          <w:szCs w:val="24"/>
        </w:rPr>
        <w:t xml:space="preserve">Requirements traceability updated in the RTM</w:t>
      </w:r>
    </w:p>
    <w:p>
      <w:pPr>
        <w:pStyle w:val="ListParagraph"/>
        <w:numPr>
          <w:ilvl w:val="0"/>
          <w:numId w:val="1"/>
        </w:numPr>
        <w:spacing w:after="40" w:line="312"/>
      </w:pPr>
      <w:r>
        <w:rPr>
          <w:rFonts w:ascii="Times New Roman" w:eastAsia="SimSun"/>
          <w:color w:val="182030"/>
          <w:sz w:val="24"/>
          <w:szCs w:val="24"/>
        </w:rPr>
        <w:t xml:space="preserve">Architecture conformance check passed</w:t>
      </w:r>
    </w:p>
    <w:p>
      <w:pPr>
        <w:pStyle w:val="ListParagraph"/>
        <w:numPr>
          <w:ilvl w:val="0"/>
          <w:numId w:val="1"/>
        </w:numPr>
        <w:spacing w:after="40" w:line="312"/>
      </w:pPr>
      <w:r>
        <w:rPr>
          <w:rFonts w:ascii="Times New Roman" w:eastAsia="SimSun"/>
          <w:color w:val="182030"/>
          <w:sz w:val="24"/>
          <w:szCs w:val="24"/>
        </w:rPr>
        <w:t xml:space="preserve">Security review completed for all changed surfaces</w:t>
      </w:r>
    </w:p>
    <w:p>
      <w:pPr>
        <w:pStyle w:val="ListParagraph"/>
        <w:numPr>
          <w:ilvl w:val="0"/>
          <w:numId w:val="1"/>
        </w:numPr>
        <w:spacing w:after="40" w:line="312"/>
      </w:pPr>
      <w:r>
        <w:rPr>
          <w:rFonts w:ascii="Times New Roman" w:eastAsia="SimSun"/>
          <w:color w:val="182030"/>
          <w:sz w:val="24"/>
          <w:szCs w:val="24"/>
        </w:rPr>
        <w:t xml:space="preserve">Static analysis and linting passed</w:t>
      </w:r>
    </w:p>
    <w:p>
      <w:pPr>
        <w:pStyle w:val="ListParagraph"/>
        <w:numPr>
          <w:ilvl w:val="0"/>
          <w:numId w:val="1"/>
        </w:numPr>
        <w:spacing w:after="40" w:line="312"/>
      </w:pPr>
      <w:r>
        <w:rPr>
          <w:rFonts w:ascii="Times New Roman" w:eastAsia="SimSun"/>
          <w:color w:val="182030"/>
          <w:sz w:val="24"/>
          <w:szCs w:val="24"/>
        </w:rPr>
        <w:t xml:space="preserve">Automated tests passed at agreed threshold</w:t>
      </w:r>
    </w:p>
    <w:p>
      <w:pPr>
        <w:pStyle w:val="ListParagraph"/>
        <w:numPr>
          <w:ilvl w:val="0"/>
          <w:numId w:val="1"/>
        </w:numPr>
        <w:spacing w:after="40" w:line="312"/>
      </w:pPr>
      <w:r>
        <w:rPr>
          <w:rFonts w:ascii="Times New Roman" w:eastAsia="SimSun"/>
          <w:color w:val="182030"/>
          <w:sz w:val="24"/>
          <w:szCs w:val="24"/>
        </w:rPr>
        <w:t xml:space="preserve">Documentation updated</w:t>
      </w:r>
    </w:p>
    <w:p>
      <w:pPr>
        <w:pStyle w:val="ListParagraph"/>
        <w:numPr>
          <w:ilvl w:val="0"/>
          <w:numId w:val="1"/>
        </w:numPr>
        <w:spacing w:after="40" w:line="312"/>
      </w:pPr>
      <w:r>
        <w:rPr>
          <w:rFonts w:ascii="Times New Roman" w:eastAsia="SimSun"/>
          <w:color w:val="182030"/>
          <w:sz w:val="24"/>
          <w:szCs w:val="24"/>
        </w:rPr>
        <w:t xml:space="preserve">Release notes generated</w:t>
      </w:r>
    </w:p>
    <w:p>
      <w:pPr>
        <w:pStyle w:val="ListParagraph"/>
        <w:numPr>
          <w:ilvl w:val="0"/>
          <w:numId w:val="1"/>
        </w:numPr>
        <w:spacing w:after="40" w:line="312"/>
      </w:pPr>
      <w:r>
        <w:rPr>
          <w:rFonts w:ascii="Times New Roman" w:eastAsia="SimSun"/>
          <w:color w:val="182030"/>
          <w:sz w:val="24"/>
          <w:szCs w:val="24"/>
        </w:rPr>
        <w:t xml:space="preserve">Rollback plan updated if the release affects the production path</w:t>
      </w:r>
    </w:p>
    <w:p>
      <w:pPr>
        <w:pStyle w:val="ListParagraph"/>
        <w:numPr>
          <w:ilvl w:val="0"/>
          <w:numId w:val="1"/>
        </w:numPr>
        <w:spacing w:after="40" w:line="312"/>
      </w:pPr>
      <w:r>
        <w:rPr>
          <w:rFonts w:ascii="Times New Roman" w:eastAsia="SimSun"/>
          <w:color w:val="182030"/>
          <w:sz w:val="24"/>
          <w:szCs w:val="24"/>
        </w:rPr>
        <w:t xml:space="preserve">Audit coverage check passed for user and AI flows</w:t>
      </w:r>
    </w:p>
    <w:p>
      <w:pPr>
        <w:spacing w:after="80" w:line="312"/>
        <w:ind w:firstLine="480"/>
        <w:jc w:val="both"/>
      </w:pPr>
      <w:r>
        <w:rPr>
          <w:rFonts w:ascii="Times New Roman" w:eastAsia="SimSun"/>
          <w:color w:val="182030"/>
          <w:sz w:val="24"/>
          <w:szCs w:val="24"/>
        </w:rPr>
        <w:t xml:space="preserve">The Delivery Orchestrator is responsible for gate enforcement. A sprint increment that fails any gate is not released.</w:t>
      </w:r>
    </w:p>
    <w:p>
      <w:pPr>
        <w:pStyle w:val="Heading1"/>
        <w:spacing w:after="120" w:before="360" w:line="312"/>
      </w:pPr>
      <w:bookmarkStart w:id="100004" w:name="_Toc100004"/>
      <w:r>
        <w:rPr>
          <w:rFonts w:ascii="Times New Roman" w:eastAsia="SimHei"/>
          <w:b/>
          <w:bCs/>
          <w:color w:val="182030"/>
        </w:rPr>
        <w:t xml:space="preserve">5. Change Control</w:t>
      </w:r>
      <w:bookmarkEnd w:id="100004"/>
    </w:p>
    <w:p>
      <w:pPr>
        <w:spacing w:after="80" w:line="312"/>
        <w:ind w:firstLine="480"/>
        <w:jc w:val="both"/>
      </w:pPr>
      <w:r>
        <w:rPr>
          <w:rFonts w:ascii="Times New Roman" w:eastAsia="SimSun"/>
          <w:color w:val="182030"/>
          <w:sz w:val="24"/>
          <w:szCs w:val="24"/>
        </w:rPr>
        <w:t xml:space="preserve">All changes to scope, architecture, integration patterns, or security posture require formal change control. Change requests must include: description, rationale, impact assessment (scope, timeline, risk, documentation), and approver. Changes are classified as:</w:t>
      </w:r>
    </w:p>
    <w:p>
      <w:pPr>
        <w:pStyle w:val="ListParagraph"/>
        <w:numPr>
          <w:ilvl w:val="0"/>
          <w:numId w:val="1"/>
        </w:numPr>
        <w:spacing w:after="40" w:line="312"/>
      </w:pPr>
      <w:r>
        <w:rPr>
          <w:rFonts w:ascii="Times New Roman" w:eastAsia="SimSun"/>
          <w:color w:val="182030"/>
          <w:sz w:val="24"/>
          <w:szCs w:val="24"/>
        </w:rPr>
        <w:t xml:space="preserve">Minor (operational approval, no scope/timeline impact)</w:t>
      </w:r>
    </w:p>
    <w:p>
      <w:pPr>
        <w:pStyle w:val="ListParagraph"/>
        <w:numPr>
          <w:ilvl w:val="0"/>
          <w:numId w:val="1"/>
        </w:numPr>
        <w:spacing w:after="40" w:line="312"/>
      </w:pPr>
      <w:r>
        <w:rPr>
          <w:rFonts w:ascii="Times New Roman" w:eastAsia="SimSun"/>
          <w:color w:val="182030"/>
          <w:sz w:val="24"/>
          <w:szCs w:val="24"/>
        </w:rPr>
        <w:t xml:space="preserve">Standard (tactical approval, limited scope/timeline impact)</w:t>
      </w:r>
    </w:p>
    <w:p>
      <w:pPr>
        <w:pStyle w:val="ListParagraph"/>
        <w:numPr>
          <w:ilvl w:val="0"/>
          <w:numId w:val="1"/>
        </w:numPr>
        <w:spacing w:after="40" w:line="312"/>
      </w:pPr>
      <w:r>
        <w:rPr>
          <w:rFonts w:ascii="Times New Roman" w:eastAsia="SimSun"/>
          <w:color w:val="182030"/>
          <w:sz w:val="24"/>
          <w:szCs w:val="24"/>
        </w:rPr>
        <w:t xml:space="preserve">Major (strategic approval, significant scope/timeline/risk impact)</w:t>
      </w:r>
    </w:p>
    <w:p>
      <w:pPr>
        <w:spacing w:after="80" w:line="312"/>
        <w:ind w:firstLine="480"/>
        <w:jc w:val="both"/>
      </w:pPr>
      <w:r>
        <w:rPr>
          <w:rFonts w:ascii="Times New Roman" w:eastAsia="SimSun"/>
          <w:color w:val="182030"/>
          <w:sz w:val="24"/>
          <w:szCs w:val="24"/>
        </w:rPr>
        <w:t xml:space="preserve">No change is implemented without an approved change request and updated documentation.</w:t>
      </w:r>
    </w:p>
    <w:tbl>
      <w:tblPr>
        <w:tblW w:type="pct" w:w="100%"/>
        <w:tblBorders>
          <w:top w:val="single" w:color="D4875A" w:sz="1"/>
          <w:left w:val="single" w:color="D4875A" w:sz="1"/>
          <w:bottom w:val="single" w:color="D4875A" w:sz="1"/>
          <w:right w:val="single" w:color="D4875A" w:sz="1"/>
          <w:insideH w:val="single" w:color="DDD0C8" w:sz="1"/>
          <w:insideV w:val="single" w:color="DDD0C8" w:sz="1"/>
        </w:tblBorders>
      </w:tblPr>
      <w:tblGrid>
        <w:gridCol w:w="100"/>
        <w:gridCol w:w="100"/>
        <w:gridCol w:w="100"/>
      </w:tblGrid>
      <w:tr>
        <w:trPr>
          <w:tblHeader/>
        </w:trPr>
        <w:tc>
          <w:tcPr>
            <w:tcW w:type="pct" w:w="20%"/>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Classification</w:t>
            </w:r>
          </w:p>
        </w:tc>
        <w:tc>
          <w:tcPr>
            <w:tcW w:type="pct" w:w="25%"/>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Approval Level</w:t>
            </w:r>
          </w:p>
        </w:tc>
        <w:tc>
          <w:tcPr>
            <w:tcW w:type="pct" w:w="55%"/>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Impact Scope</w:t>
            </w:r>
          </w:p>
        </w:tc>
      </w:tr>
      <w:tr>
        <w:trPr>
          <w:cantSplit/>
        </w:trPr>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Minor</w:t>
            </w:r>
          </w:p>
        </w:tc>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Operational</w:t>
            </w:r>
          </w:p>
        </w:tc>
        <w:tc>
          <w:tcPr>
            <w:tcW w:type="pct" w:w="5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 scope or timeline impact</w:t>
            </w:r>
          </w:p>
        </w:tc>
      </w:tr>
      <w:tr>
        <w:trPr>
          <w:cantSplit/>
        </w:trPr>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Standard</w:t>
            </w:r>
          </w:p>
        </w:tc>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Tactical</w:t>
            </w:r>
          </w:p>
        </w:tc>
        <w:tc>
          <w:tcPr>
            <w:tcW w:type="pct" w:w="5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Limited scope and timeline impact</w:t>
            </w:r>
          </w:p>
        </w:tc>
      </w:tr>
      <w:tr>
        <w:trPr>
          <w:cantSplit/>
        </w:trPr>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Major</w:t>
            </w:r>
          </w:p>
        </w:tc>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Strategic</w:t>
            </w:r>
          </w:p>
        </w:tc>
        <w:tc>
          <w:tcPr>
            <w:tcW w:type="pct" w:w="5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Significant scope, timeline, and risk impact</w:t>
            </w:r>
          </w:p>
        </w:tc>
      </w:tr>
    </w:tbl>
    <w:p>
      <w:pPr>
        <w:pStyle w:val="Heading1"/>
        <w:spacing w:after="120" w:before="360" w:line="312"/>
      </w:pPr>
      <w:bookmarkStart w:id="100005" w:name="_Toc100005"/>
      <w:r>
        <w:rPr>
          <w:rFonts w:ascii="Times New Roman" w:eastAsia="SimHei"/>
          <w:b/>
          <w:bCs/>
          <w:color w:val="182030"/>
        </w:rPr>
        <w:t xml:space="preserve">6. Risk and Issue Management</w:t>
      </w:r>
      <w:bookmarkEnd w:id="100005"/>
    </w:p>
    <w:p>
      <w:pPr>
        <w:spacing w:after="80" w:line="312"/>
        <w:ind w:firstLine="480"/>
        <w:jc w:val="both"/>
      </w:pPr>
      <w:r>
        <w:rPr>
          <w:rFonts w:ascii="Times New Roman" w:eastAsia="SimSun"/>
          <w:color w:val="182030"/>
          <w:sz w:val="24"/>
          <w:szCs w:val="24"/>
        </w:rPr>
        <w:t xml:space="preserve">Risks are tracked with probability, impact, mitigation strategy, owner, and status. Issues are defects, blockers, or operational problems requiring resolution. Both are reviewed at weekly governance meetings. Critical risks (high probability, high impact) are escalated immediately to the tactical level. The Red Team/Compliance Agent provides independent risk assessment on security and compliance matters.</w:t>
      </w:r>
    </w:p>
    <w:p>
      <w:pPr>
        <w:pStyle w:val="Heading1"/>
        <w:spacing w:after="120" w:before="360" w:line="312"/>
      </w:pPr>
      <w:bookmarkStart w:id="100006" w:name="_Toc100006"/>
      <w:r>
        <w:rPr>
          <w:rFonts w:ascii="Times New Roman" w:eastAsia="SimHei"/>
          <w:b/>
          <w:bCs/>
          <w:color w:val="182030"/>
        </w:rPr>
        <w:t xml:space="preserve">7. Compliance and Audit</w:t>
      </w:r>
      <w:bookmarkEnd w:id="100006"/>
    </w:p>
    <w:p>
      <w:pPr>
        <w:spacing w:after="80" w:line="312"/>
        <w:ind w:firstLine="480"/>
        <w:jc w:val="both"/>
      </w:pPr>
      <w:r>
        <w:rPr>
          <w:rFonts w:ascii="Times New Roman" w:eastAsia="SimSun"/>
          <w:color w:val="182030"/>
          <w:sz w:val="24"/>
          <w:szCs w:val="24"/>
        </w:rPr>
        <w:t xml:space="preserve">All delivery activities must comply with the following non-negotiable constraints:</w:t>
      </w:r>
    </w:p>
    <w:tbl>
      <w:tblPr>
        <w:tblW w:type="pct" w:w="100%"/>
        <w:tblBorders>
          <w:top w:val="single" w:color="D4875A" w:sz="1"/>
          <w:left w:val="single" w:color="D4875A" w:sz="1"/>
          <w:bottom w:val="single" w:color="D4875A" w:sz="1"/>
          <w:right w:val="single" w:color="D4875A" w:sz="1"/>
          <w:insideH w:val="single" w:color="DDD0C8" w:sz="1"/>
          <w:insideV w:val="single" w:color="DDD0C8" w:sz="1"/>
        </w:tblBorders>
      </w:tblPr>
      <w:tblGrid>
        <w:gridCol w:w="100"/>
        <w:gridCol w:w="100"/>
      </w:tblGrid>
      <w:tr>
        <w:trPr>
          <w:tblHeader/>
        </w:trPr>
        <w:tc>
          <w:tcPr>
            <w:tcW w:type="pct" w:w="40%"/>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Constraint</w:t>
            </w:r>
          </w:p>
        </w:tc>
        <w:tc>
          <w:tcPr>
            <w:tcW w:type="pct" w:w="60%"/>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Description</w:t>
            </w:r>
          </w:p>
        </w:tc>
      </w:tr>
      <w:tr>
        <w:trPr>
          <w:cantSplit/>
        </w:trPr>
        <w:tc>
          <w:tcPr>
            <w:tcW w:type="pct" w:w="4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System of Record</w:t>
            </w:r>
          </w:p>
        </w:tc>
        <w:tc>
          <w:tcPr>
            <w:tcW w:type="pct" w:w="6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Salesforce remains the system of record</w:t>
            </w:r>
          </w:p>
        </w:tc>
      </w:tr>
      <w:tr>
        <w:trPr>
          <w:cantSplit/>
        </w:trPr>
        <w:tc>
          <w:tcPr>
            <w:tcW w:type="pct" w:w="4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Analytics Layer</w:t>
            </w:r>
          </w:p>
        </w:tc>
        <w:tc>
          <w:tcPr>
            <w:tcW w:type="pct" w:w="6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Power BI remains the analytics layer</w:t>
            </w:r>
          </w:p>
        </w:tc>
      </w:tr>
      <w:tr>
        <w:trPr>
          <w:cantSplit/>
        </w:trPr>
        <w:tc>
          <w:tcPr>
            <w:tcW w:type="pct" w:w="4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 Shadow Databases</w:t>
            </w:r>
          </w:p>
        </w:tc>
        <w:tc>
          <w:tcPr>
            <w:tcW w:type="pct" w:w="6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 shadow databases or unmanaged exports</w:t>
            </w:r>
          </w:p>
        </w:tc>
      </w:tr>
      <w:tr>
        <w:trPr>
          <w:cantSplit/>
        </w:trPr>
        <w:tc>
          <w:tcPr>
            <w:tcW w:type="pct" w:w="4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AI Human Review</w:t>
            </w:r>
          </w:p>
        </w:tc>
        <w:tc>
          <w:tcPr>
            <w:tcW w:type="pct" w:w="6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All AI-suggested updates require human review</w:t>
            </w:r>
          </w:p>
        </w:tc>
      </w:tr>
      <w:tr>
        <w:trPr>
          <w:cantSplit/>
        </w:trPr>
        <w:tc>
          <w:tcPr>
            <w:tcW w:type="pct" w:w="4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AI Audit Logs</w:t>
            </w:r>
          </w:p>
        </w:tc>
        <w:tc>
          <w:tcPr>
            <w:tcW w:type="pct" w:w="6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All AI-assisted decisions produce audit-ready logs</w:t>
            </w:r>
          </w:p>
        </w:tc>
      </w:tr>
      <w:tr>
        <w:trPr>
          <w:cantSplit/>
        </w:trPr>
        <w:tc>
          <w:tcPr>
            <w:tcW w:type="pct" w:w="4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 Training on Protected Data</w:t>
            </w:r>
          </w:p>
        </w:tc>
        <w:tc>
          <w:tcPr>
            <w:tcW w:type="pct" w:w="6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 protected data enters training workflows</w:t>
            </w:r>
          </w:p>
        </w:tc>
      </w:tr>
      <w:tr>
        <w:trPr>
          <w:cantSplit/>
        </w:trPr>
        <w:tc>
          <w:tcPr>
            <w:tcW w:type="pct" w:w="4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Approved Tenants</w:t>
            </w:r>
          </w:p>
        </w:tc>
        <w:tc>
          <w:tcPr>
            <w:tcW w:type="pct" w:w="6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All processing runs in approved tenants</w:t>
            </w:r>
          </w:p>
        </w:tc>
      </w:tr>
      <w:tr>
        <w:trPr>
          <w:cantSplit/>
        </w:trPr>
        <w:tc>
          <w:tcPr>
            <w:tcW w:type="pct" w:w="4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Availability Target</w:t>
            </w:r>
          </w:p>
        </w:tc>
        <w:tc>
          <w:tcPr>
            <w:tcW w:type="pct" w:w="6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99.5% availability target during business hours</w:t>
            </w:r>
          </w:p>
        </w:tc>
      </w:tr>
    </w:tbl>
    <w:p>
      <w:pPr>
        <w:spacing w:after="80" w:line="312"/>
        <w:ind w:firstLine="480"/>
        <w:jc w:val="both"/>
      </w:pPr>
      <w:r>
        <w:rPr>
          <w:rFonts w:ascii="Times New Roman" w:eastAsia="SimSun"/>
          <w:color w:val="182030"/>
          <w:sz w:val="24"/>
          <w:szCs w:val="24"/>
        </w:rPr>
        <w:t xml:space="preserve">The Red Team/Compliance Agent conducts compliance reviews at every sprint boundary and escalates violations immediately.</w:t>
      </w:r>
    </w:p>
    <w:p>
      <w:pPr>
        <w:pStyle w:val="Heading1"/>
        <w:spacing w:after="120" w:before="360" w:line="312"/>
      </w:pPr>
      <w:bookmarkStart w:id="100007" w:name="_Toc100007"/>
      <w:r>
        <w:rPr>
          <w:rFonts w:ascii="Times New Roman" w:eastAsia="SimHei"/>
          <w:b/>
          <w:bCs/>
          <w:color w:val="182030"/>
        </w:rPr>
        <w:t xml:space="preserve">8. Meeting and Reporting Cadence</w:t>
      </w:r>
      <w:bookmarkEnd w:id="100007"/>
    </w:p>
    <w:p>
      <w:pPr>
        <w:spacing w:after="80" w:line="312"/>
        <w:ind w:firstLine="480"/>
        <w:jc w:val="both"/>
      </w:pPr>
      <w:r>
        <w:rPr>
          <w:rFonts w:ascii="Times New Roman" w:eastAsia="SimSun"/>
          <w:color w:val="182030"/>
          <w:sz w:val="24"/>
          <w:szCs w:val="24"/>
        </w:rPr>
        <w:t xml:space="preserve">The following cadence governs all meeting and reporting activities:</w:t>
      </w:r>
    </w:p>
    <w:tbl>
      <w:tblPr>
        <w:tblW w:type="pct" w:w="100%"/>
        <w:tblBorders>
          <w:top w:val="single" w:color="D4875A" w:sz="1"/>
          <w:left w:val="single" w:color="D4875A" w:sz="1"/>
          <w:bottom w:val="single" w:color="D4875A" w:sz="1"/>
          <w:right w:val="single" w:color="D4875A" w:sz="1"/>
          <w:insideH w:val="single" w:color="DDD0C8" w:sz="1"/>
          <w:insideV w:val="single" w:color="DDD0C8" w:sz="1"/>
        </w:tblBorders>
      </w:tblPr>
      <w:tblGrid>
        <w:gridCol w:w="100"/>
        <w:gridCol w:w="100"/>
        <w:gridCol w:w="100"/>
      </w:tblGrid>
      <w:tr>
        <w:trPr>
          <w:tblHeader/>
        </w:trPr>
        <w:tc>
          <w:tcPr>
            <w:tcW w:type="pct" w:w="20%"/>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Cadence</w:t>
            </w:r>
          </w:p>
        </w:tc>
        <w:tc>
          <w:tcPr>
            <w:tcW w:type="pct" w:w="45%"/>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Scope</w:t>
            </w:r>
          </w:p>
        </w:tc>
        <w:tc>
          <w:tcPr>
            <w:tcW w:type="pct" w:w="35%"/>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Output</w:t>
            </w:r>
          </w:p>
        </w:tc>
      </w:tr>
      <w:tr>
        <w:trPr>
          <w:cantSplit/>
        </w:trPr>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Daily</w:t>
            </w:r>
          </w:p>
        </w:tc>
        <w:tc>
          <w:tcPr>
            <w:tcW w:type="pct" w:w="4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Automated AI sync (status, blockers, dependencies, quality)</w:t>
            </w:r>
          </w:p>
        </w:tc>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Automated status report</w:t>
            </w:r>
          </w:p>
        </w:tc>
      </w:tr>
      <w:tr>
        <w:trPr>
          <w:cantSplit/>
        </w:trPr>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Weekly</w:t>
            </w:r>
          </w:p>
        </w:tc>
        <w:tc>
          <w:tcPr>
            <w:tcW w:type="pct" w:w="4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Governance review (compliance, scope, architecture, delivery risk)</w:t>
            </w:r>
          </w:p>
        </w:tc>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Governance review minutes</w:t>
            </w:r>
          </w:p>
        </w:tc>
      </w:tr>
      <w:tr>
        <w:trPr>
          <w:cantSplit/>
        </w:trPr>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End-of-Sprint</w:t>
            </w:r>
          </w:p>
        </w:tc>
        <w:tc>
          <w:tcPr>
            <w:tcW w:type="pct" w:w="4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review with working increment, evidence pack, updated docs, and release notes</w:t>
            </w:r>
          </w:p>
        </w:tc>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deliverable pack</w:t>
            </w:r>
          </w:p>
        </w:tc>
      </w:tr>
      <w:tr>
        <w:trPr>
          <w:cantSplit/>
        </w:trPr>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Phase Gates</w:t>
            </w:r>
          </w:p>
        </w:tc>
        <w:tc>
          <w:tcPr>
            <w:tcW w:type="pct" w:w="4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Week 4 design sign-off, Day 90 pilot readiness, Phase 2 entry, Phase 3 entry</w:t>
            </w:r>
          </w:p>
        </w:tc>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Phase gate approval</w:t>
            </w:r>
          </w:p>
        </w:tc>
      </w:tr>
    </w:tbl>
    <w:p>
      <w:pPr>
        <w:pStyle w:val="Heading1"/>
        <w:spacing w:after="120" w:before="360" w:line="312"/>
      </w:pPr>
      <w:bookmarkStart w:id="100008" w:name="_Toc100008"/>
      <w:r>
        <w:rPr>
          <w:rFonts w:ascii="Times New Roman" w:eastAsia="SimHei"/>
          <w:b/>
          <w:bCs/>
          <w:color w:val="182030"/>
        </w:rPr>
        <w:t xml:space="preserve">9. Escalation and Resolution</w:t>
      </w:r>
      <w:bookmarkEnd w:id="100008"/>
    </w:p>
    <w:p>
      <w:pPr>
        <w:spacing w:after="80" w:line="312"/>
        <w:ind w:firstLine="480"/>
        <w:jc w:val="both"/>
      </w:pPr>
      <w:r>
        <w:rPr>
          <w:rFonts w:ascii="Times New Roman" w:eastAsia="SimSun"/>
          <w:color w:val="182030"/>
          <w:sz w:val="24"/>
          <w:szCs w:val="24"/>
        </w:rPr>
        <w:t xml:space="preserve">Agent confidence thresholds govern autonomous action:</w:t>
      </w:r>
    </w:p>
    <w:p>
      <w:pPr>
        <w:pStyle w:val="ListParagraph"/>
        <w:numPr>
          <w:ilvl w:val="0"/>
          <w:numId w:val="1"/>
        </w:numPr>
        <w:spacing w:after="40" w:line="312"/>
      </w:pPr>
      <w:r>
        <w:rPr>
          <w:rFonts w:ascii="Times New Roman" w:eastAsia="SimSun"/>
          <w:color w:val="182030"/>
          <w:sz w:val="24"/>
          <w:szCs w:val="24"/>
        </w:rPr>
        <w:t xml:space="preserve">Confidence above 0.90 permits autonomous execution within approved scope</w:t>
      </w:r>
    </w:p>
    <w:p>
      <w:pPr>
        <w:pStyle w:val="ListParagraph"/>
        <w:numPr>
          <w:ilvl w:val="0"/>
          <w:numId w:val="1"/>
        </w:numPr>
        <w:spacing w:after="40" w:line="312"/>
      </w:pPr>
      <w:r>
        <w:rPr>
          <w:rFonts w:ascii="Times New Roman" w:eastAsia="SimSun"/>
          <w:color w:val="182030"/>
          <w:sz w:val="24"/>
          <w:szCs w:val="24"/>
        </w:rPr>
        <w:t xml:space="preserve">Confidence 0.70–0.89 permits autonomous draft with mandatory peer-agent review</w:t>
      </w:r>
    </w:p>
    <w:p>
      <w:pPr>
        <w:pStyle w:val="ListParagraph"/>
        <w:numPr>
          <w:ilvl w:val="0"/>
          <w:numId w:val="1"/>
        </w:numPr>
        <w:spacing w:after="40" w:line="312"/>
      </w:pPr>
      <w:r>
        <w:rPr>
          <w:rFonts w:ascii="Times New Roman" w:eastAsia="SimSun"/>
          <w:color w:val="182030"/>
          <w:sz w:val="24"/>
          <w:szCs w:val="24"/>
        </w:rPr>
        <w:t xml:space="preserve">Confidence below 0.70 requires escalation to human-in-the-loop or lead architect</w:t>
      </w:r>
    </w:p>
    <w:p>
      <w:pPr>
        <w:spacing w:after="80" w:line="312"/>
        <w:ind w:firstLine="480"/>
        <w:jc w:val="both"/>
      </w:pPr>
      <w:r>
        <w:rPr>
          <w:rFonts w:ascii="Times New Roman" w:eastAsia="SimSun"/>
          <w:color w:val="182030"/>
          <w:sz w:val="24"/>
          <w:szCs w:val="24"/>
        </w:rPr>
        <w:t xml:space="preserve">Security, data governance, and production data tasks always require human review regardless of confidence level.</w:t>
      </w:r>
    </w:p>
    <w:p>
      <w:pPr>
        <w:pStyle w:val="Heading2"/>
        <w:spacing w:after="120" w:before="240" w:line="312"/>
      </w:pPr>
      <w:bookmarkStart w:id="100009" w:name="_Toc100009"/>
      <w:r>
        <w:rPr>
          <w:rFonts w:ascii="Times New Roman" w:eastAsia="SimHei"/>
          <w:b/>
          <w:bCs/>
          <w:color w:val="182030"/>
        </w:rPr>
        <w:t xml:space="preserve">9.1 Escalation Response Times</w:t>
      </w:r>
      <w:bookmarkEnd w:id="100009"/>
    </w:p>
    <w:tbl>
      <w:tblPr>
        <w:tblW w:type="pct" w:w="100%"/>
        <w:tblBorders>
          <w:top w:val="single" w:color="D4875A" w:sz="1"/>
          <w:left w:val="single" w:color="D4875A" w:sz="1"/>
          <w:bottom w:val="single" w:color="D4875A" w:sz="1"/>
          <w:right w:val="single" w:color="D4875A" w:sz="1"/>
          <w:insideH w:val="single" w:color="DDD0C8" w:sz="1"/>
          <w:insideV w:val="single" w:color="DDD0C8" w:sz="1"/>
        </w:tblBorders>
      </w:tblPr>
      <w:tblGrid>
        <w:gridCol w:w="100"/>
        <w:gridCol w:w="100"/>
        <w:gridCol w:w="100"/>
      </w:tblGrid>
      <w:tr>
        <w:trPr>
          <w:tblHeader/>
        </w:trPr>
        <w:tc>
          <w:tcPr>
            <w:tcW w:type="pct" w:w="25%"/>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Severity</w:t>
            </w:r>
          </w:p>
        </w:tc>
        <w:tc>
          <w:tcPr>
            <w:tcW w:type="pct" w:w="40%"/>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Description</w:t>
            </w:r>
          </w:p>
        </w:tc>
        <w:tc>
          <w:tcPr>
            <w:tcW w:type="pct" w:w="35%"/>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Response Time</w:t>
            </w:r>
          </w:p>
        </w:tc>
      </w:tr>
      <w:tr>
        <w:trPr>
          <w:cantSplit/>
        </w:trPr>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Critical</w:t>
            </w:r>
          </w:p>
        </w:tc>
        <w:tc>
          <w:tcPr>
            <w:tcW w:type="pct" w:w="4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Security or data breach</w:t>
            </w:r>
          </w:p>
        </w:tc>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Immediate</w:t>
            </w:r>
          </w:p>
        </w:tc>
      </w:tr>
      <w:tr>
        <w:trPr>
          <w:cantSplit/>
        </w:trPr>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High</w:t>
            </w:r>
          </w:p>
        </w:tc>
        <w:tc>
          <w:tcPr>
            <w:tcW w:type="pct" w:w="4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Production blocker</w:t>
            </w:r>
          </w:p>
        </w:tc>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Within 4 hours</w:t>
            </w:r>
          </w:p>
        </w:tc>
      </w:tr>
      <w:tr>
        <w:trPr>
          <w:cantSplit/>
        </w:trPr>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Medium</w:t>
            </w:r>
          </w:p>
        </w:tc>
        <w:tc>
          <w:tcPr>
            <w:tcW w:type="pct" w:w="4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risk</w:t>
            </w:r>
          </w:p>
        </w:tc>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Within 24 hours</w:t>
            </w:r>
          </w:p>
        </w:tc>
      </w:tr>
      <w:tr>
        <w:trPr>
          <w:cantSplit/>
        </w:trPr>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Low</w:t>
            </w:r>
          </w:p>
        </w:tc>
        <w:tc>
          <w:tcPr>
            <w:tcW w:type="pct" w:w="4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Process improvement</w:t>
            </w:r>
          </w:p>
        </w:tc>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Next governance review</w:t>
            </w:r>
          </w:p>
        </w:tc>
      </w:tr>
    </w:tbl>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808080"/>
        <w:sz w:val="18"/>
        <w:szCs w:val="18"/>
      </w:rPr>
      <w:t xml:space="preserve">Aceli LAT Governance Model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18203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182030"/>
      <w:sz w:val="32"/>
      <w:szCs w:val="32"/>
    </w:rPr>
  </w:style>
  <w:style w:type="paragraph" w:styleId="Heading2">
    <w:name w:val="Heading 2"/>
    <w:basedOn w:val="Normal"/>
    <w:next w:val="Normal"/>
    <w:qFormat/>
    <w:pPr>
      <w:spacing w:after="120" w:before="240" w:line="312"/>
      <w:outlineLvl w:val="1"/>
    </w:pPr>
    <w:rPr>
      <w:rFonts w:ascii="Times New Roman" w:eastAsia="SimHei"/>
      <w:b/>
      <w:bCs/>
      <w:color w:val="182030"/>
      <w:sz w:val="28"/>
      <w:szCs w:val="28"/>
    </w:rPr>
  </w:style>
  <w:style w:type="paragraph" w:styleId="Heading3">
    <w:name w:val="Heading 3"/>
    <w:basedOn w:val="Normal"/>
    <w:next w:val="Normal"/>
    <w:qFormat/>
    <w:pPr>
      <w:spacing w:after="100" w:before="200" w:line="312"/>
      <w:outlineLvl w:val="2"/>
    </w:pPr>
    <w:rPr>
      <w:rFonts w:ascii="Times New Roman" w:eastAsia="SimHei"/>
      <w:b/>
      <w:bCs/>
      <w:color w:val="18203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2026-06-12T05:12:01.953Z</dcterms:created>
  <dcterms:modified xsi:type="dcterms:W3CDTF">2026-06-12T05:12:01.953Z</dcterms:modified>
</cp:coreProperties>
</file>

<file path=docProps/custom.xml><?xml version="1.0" encoding="utf-8"?>
<Properties xmlns="http://schemas.openxmlformats.org/officeDocument/2006/custom-properties" xmlns:vt="http://schemas.openxmlformats.org/officeDocument/2006/docPropsVTypes"/>
</file>