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4423"/>
            </w:pPr>
          </w:p>
          <w:p>
            <w:pPr>
              <w:pBdr>
                <w:bottom w:val="single" w:sz="6" w:space="8"/>
              </w:pBdr>
              <w:spacing w:after="500"/>
              <w:ind w:left="1200" w:right="800"/>
            </w:pPr>
            <w:r>
              <w:rPr>
                <w:rFonts w:ascii="Calibri" w:eastAsia="SimHei"/>
                <w:spacing w:val="40"/>
                <w:sz w:val="18"/>
                <w:szCs w:val="18"/>
              </w:rPr>
              <w:t xml:space="preserve">R  T  M</w:t>
            </w:r>
          </w:p>
          <w:p>
            <w:pPr>
              <w:spacing w:after="100" w:line="552" w:lineRule="atLeast"/>
              <w:ind w:left="1200"/>
            </w:pPr>
            <w:r>
              <w:rPr>
                <w:rFonts w:ascii="Arial" w:eastAsia="SimHei"/>
                <w:b/>
                <w:bCs/>
                <w:color w:val="FFFFFF"/>
                <w:sz w:val="48"/>
                <w:szCs w:val="48"/>
              </w:rPr>
              <w:t xml:space="preserve">Aceli LAT Requirements</w:t>
            </w:r>
          </w:p>
          <w:p>
            <w:pPr>
              <w:spacing w:after="300" w:line="552" w:lineRule="atLeast"/>
              <w:ind w:left="1200"/>
            </w:pPr>
            <w:r>
              <w:rPr>
                <w:rFonts w:ascii="Arial" w:eastAsia="SimHei"/>
                <w:b/>
                <w:bCs/>
                <w:color w:val="FFFFFF"/>
                <w:sz w:val="48"/>
                <w:szCs w:val="48"/>
              </w:rPr>
              <w:t xml:space="preserve">Traceability Matrixv1</w:t>
            </w:r>
          </w:p>
          <w:p>
            <w:pPr>
              <w:spacing w:after="800"/>
              <w:ind w:left="1200"/>
            </w:pPr>
            <w:r>
              <w:rPr>
                <w:rFonts w:ascii="Arial" w:eastAsia="Microsoft YaHei"/>
                <w:color w:val="B0B8C0"/>
                <w:sz w:val="24"/>
                <w:szCs w:val="24"/>
              </w:rPr>
              <w:t xml:space="preserve">Bidirectional Traceability from RFP to Verification</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1.0</w:t>
            </w:r>
          </w:p>
          <w:p>
            <w:pPr>
              <w:pBdr>
                <w:left w:val="single" w:sz="8" w:space="12"/>
              </w:pBdr>
              <w:spacing w:after="80"/>
              <w:ind w:left="1400"/>
            </w:pPr>
            <w:r>
              <w:rPr>
                <w:rFonts w:ascii="Arial" w:eastAsia="Microsoft YaHei"/>
                <w:color w:val="90989F"/>
                <w:sz w:val="24"/>
                <w:szCs w:val="24"/>
              </w:rPr>
              <w:t xml:space="preserve">Date: 2026-06-12</w:t>
            </w:r>
          </w:p>
          <w:p>
            <w:pPr>
              <w:pBdr>
                <w:left w:val="single" w:sz="8" w:space="12"/>
              </w:pBdr>
              <w:spacing w:after="80"/>
              <w:ind w:left="1400"/>
            </w:pPr>
            <w:r>
              <w:rPr>
                <w:rFonts w:ascii="Arial" w:eastAsia="Microsoft YaHei"/>
                <w:color w:val="90989F"/>
                <w:sz w:val="24"/>
                <w:szCs w:val="24"/>
              </w:rPr>
              <w:t xml:space="preserve">Classification: Confidential</w:t>
            </w:r>
          </w:p>
          <w:p>
            <w:pPr>
              <w:spacing w:before="4423"/>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RTM Purpose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RTM Structure and Conventions</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RFP-Level Requirements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Business Requirements (Initial)</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Functional Requirements (Initial)</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6. Non-Functional Requirements (Initial)</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7. Traceability Maintenance</w:t>
            </w:r>
            <w:r>
              <w:tab/>
            </w:r>
            <w:r>
              <w:fldChar w:fldCharType="begin"/>
            </w:r>
            <w:r>
              <w:instrText xml:space="preserve"> PAGEREF _Toc100006 \h </w:instrText>
            </w:r>
            <w:r>
              <w:fldChar w:fldCharType="separate"/>
            </w:r>
            <w:r>
              <w:t>3</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RTM Purpose</w:t>
      </w:r>
      <w:bookmarkEnd w:id="100000"/>
    </w:p>
    <w:p>
      <w:pPr>
        <w:spacing w:after="80" w:line="312"/>
        <w:ind w:firstLine="480"/>
        <w:jc w:val="both"/>
      </w:pPr>
      <w:r>
        <w:rPr>
          <w:rFonts w:ascii="Times New Roman" w:eastAsia="SimSun"/>
          <w:color w:val="182030"/>
          <w:sz w:val="24"/>
          <w:szCs w:val="24"/>
        </w:rPr>
        <w:t xml:space="preserve">The Requirements Traceability Matrix (RTM) provides bidirectional traceability from RFP requirements through business requirements, functional specifications, user stories, API contracts, test cases, and release artifacts. Every requirement must be traceable to its origin and forward to its verification evidence. The RTM is a living document updated at every sprint boundary and is subject to the mandatory quality gate for requirements traceability completeness. No feature build starts without a linked requirement ID in the RTM.</w:t>
      </w:r>
    </w:p>
    <w:p>
      <w:pPr>
        <w:pStyle w:val="Heading1"/>
        <w:spacing w:after="120" w:before="360" w:line="312"/>
      </w:pPr>
      <w:bookmarkStart w:id="100001" w:name="_Toc100001"/>
      <w:r>
        <w:rPr>
          <w:rFonts w:ascii="Times New Roman" w:eastAsia="SimHei"/>
          <w:b/>
          <w:bCs/>
          <w:color w:val="182030"/>
        </w:rPr>
        <w:t xml:space="preserve">2. RTM Structure and Conventions</w:t>
      </w:r>
      <w:bookmarkEnd w:id="100001"/>
    </w:p>
    <w:p>
      <w:pPr>
        <w:spacing w:after="80" w:line="312"/>
        <w:ind w:firstLine="480"/>
        <w:jc w:val="both"/>
      </w:pPr>
      <w:r>
        <w:rPr>
          <w:rFonts w:ascii="Times New Roman" w:eastAsia="SimSun"/>
          <w:color w:val="182030"/>
          <w:sz w:val="24"/>
          <w:szCs w:val="24"/>
        </w:rPr>
        <w:t xml:space="preserve">Each RTM entry includes: Req ID (hierarchical: RFP-XXX, BR-XXX, FR-XXX, NFR-XXX, US-XXX), Requirement Statement, Source (RFP section, BRD section, or PRD section), Priority (Must Have, Should Have, Could Have), Sprint Target, Implementation Artifact (code module, API contract, integration point), Test Case ID(s), Verification Status (Not Started, In Progress, Verified, Deferred), and Notes/Assumptions.</w:t>
      </w:r>
    </w:p>
    <w:p>
      <w:pPr>
        <w:pStyle w:val="Heading1"/>
        <w:spacing w:after="120" w:before="360" w:line="312"/>
      </w:pPr>
      <w:bookmarkStart w:id="100002" w:name="_Toc100002"/>
      <w:r>
        <w:rPr>
          <w:rFonts w:ascii="Times New Roman" w:eastAsia="SimHei"/>
          <w:b/>
          <w:bCs/>
          <w:color w:val="182030"/>
        </w:rPr>
        <w:t xml:space="preserve">3. RFP-Level Requirements</w:t>
      </w:r>
      <w:bookmarkEnd w:id="100002"/>
    </w:p>
    <w:p>
      <w:pPr>
        <w:spacing w:after="80" w:line="312"/>
        <w:ind w:firstLine="480"/>
        <w:jc w:val="both"/>
      </w:pPr>
      <w:r>
        <w:rPr>
          <w:rFonts w:ascii="Times New Roman" w:eastAsia="SimSun"/>
          <w:color w:val="182030"/>
          <w:sz w:val="24"/>
          <w:szCs w:val="24"/>
        </w:rPr>
        <w:t xml:space="preserve">The following table captures the high-level RFP-derived requirements that form the origin point for all downstream traceability:</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gridCol w:w="100"/>
      </w:tblGrid>
      <w:tr>
        <w:trPr>
          <w:tblHeader/>
        </w:trPr>
        <w:tc>
          <w:tcPr>
            <w:tcW w:type="pct" w:w="1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 ID</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Requirement Statement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Source</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Priority</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Target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RFP-001</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Salesforce remains the primary system of record for lender relationship data</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 design / Sprint 5 build</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RFP-002</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LAT platform is the field-facing workflow and intelligence layer</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2</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RFP-003</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Power BI remains the analytics and reporting layer only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2 design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RFP-004</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Benchmarking data store fed through controlled validated pathway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RFP-005</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shadow databases, unmanaged exports, or manual reconciliation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 governance / Sprint 2 design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RFP-006</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AI-suggested updates require human review before write-back</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RFP-007</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AI-assisted decisions produce audit-ready logs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RFP-008</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lender/borrower data used to train vendor models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 governance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RFP-009</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All processing within Aceli-approved enterprise tenants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0 governance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RFP-010</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Low-bandwidth and offline capture with later synchronization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7</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RFP-011</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99.5% availability during business hours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7</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RFP-012</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Training, change management, rollout support, admin handover in scope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RFP Section 8</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bl>
    <w:p>
      <w:pPr>
        <w:pStyle w:val="Heading1"/>
        <w:spacing w:after="120" w:before="360" w:line="312"/>
      </w:pPr>
      <w:bookmarkStart w:id="100003" w:name="_Toc100003"/>
      <w:r>
        <w:rPr>
          <w:rFonts w:ascii="Times New Roman" w:eastAsia="SimHei"/>
          <w:b/>
          <w:bCs/>
          <w:color w:val="182030"/>
        </w:rPr>
        <w:t xml:space="preserve">4. Business Requirements (Initial)</w:t>
      </w:r>
      <w:bookmarkEnd w:id="100003"/>
    </w:p>
    <w:p>
      <w:pPr>
        <w:spacing w:after="80" w:line="312"/>
        <w:ind w:firstLine="480"/>
        <w:jc w:val="both"/>
      </w:pPr>
      <w:r>
        <w:rPr>
          <w:rFonts w:ascii="Times New Roman" w:eastAsia="SimSun"/>
          <w:color w:val="182030"/>
          <w:sz w:val="24"/>
          <w:szCs w:val="24"/>
        </w:rPr>
        <w:t xml:space="preserve">These are placeholder entries that will be expanded in Sprint 1:</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gridCol w:w="100"/>
      </w:tblGrid>
      <w:tr>
        <w:trPr>
          <w:tblHeader/>
        </w:trPr>
        <w:tc>
          <w:tcPr>
            <w:tcW w:type="pct" w:w="1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 ID</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Requirement Statement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Source</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Priority</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Target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BR-001</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Map current Google Sheets LAT process and pain points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Discovery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BR-002</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Build current-state process map for all user roles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Discovery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BR-003</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Define data domains (lender profile, activation status, narrative notes, extracted updates, review decisions, sync state)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Discovery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BR-004</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Identify all in-scope and out-of-scope capabilities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Discovery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BR-005</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Record assumptions and open questions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Discovery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1</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bl>
    <w:p>
      <w:pPr>
        <w:pStyle w:val="Heading1"/>
        <w:spacing w:after="120" w:before="360" w:line="312"/>
      </w:pPr>
      <w:bookmarkStart w:id="100004" w:name="_Toc100004"/>
      <w:r>
        <w:rPr>
          <w:rFonts w:ascii="Times New Roman" w:eastAsia="SimHei"/>
          <w:b/>
          <w:bCs/>
          <w:color w:val="182030"/>
        </w:rPr>
        <w:t xml:space="preserve">5. Functional Requirements (Initial)</w:t>
      </w:r>
      <w:bookmarkEnd w:id="100004"/>
    </w:p>
    <w:p>
      <w:pPr>
        <w:spacing w:after="80" w:line="312"/>
        <w:ind w:firstLine="480"/>
        <w:jc w:val="both"/>
      </w:pPr>
      <w:r>
        <w:rPr>
          <w:rFonts w:ascii="Times New Roman" w:eastAsia="SimSun"/>
          <w:color w:val="182030"/>
          <w:sz w:val="24"/>
          <w:szCs w:val="24"/>
        </w:rPr>
        <w:t xml:space="preserve">These are placeholder entries expanded in Sprint 2:</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gridCol w:w="100"/>
      </w:tblGrid>
      <w:tr>
        <w:trPr>
          <w:tblHeader/>
        </w:trPr>
        <w:tc>
          <w:tcPr>
            <w:tcW w:type="pct" w:w="1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 ID</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Requirement Statement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Source</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Priority</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Target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FR-001</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Lender search and profile access UI</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Capture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FR-002</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Meeting context screen showing lender status and recent activity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Capture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FR-003</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Voice memo capture and typed note capture flows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Capture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FR-004</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Transcript intake pipeline in approved AI tenant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FR-005</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Narrative storage and draft extraction workflow</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FR-006</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Map extracted content into six activation areas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FR-007</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Confidence scoring and extraction review flags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AI</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FR-008</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Reviewer workbench for AI-suggested updates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Review</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FR-009</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Edit/approve/reject/request-follow-up states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Review</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FR-010</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Exception queues for missing fields, low confidence, conflicts, invalid transitions, failed sync, and reviewer rejection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Review</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FR-011</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Controlled Salesforce write-back adapters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FR-012</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Audit timeline and reviewer rationale capture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Audit</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FR-013</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Offline draft persistence and upload retry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Offline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FR-014</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HQ dashboards and aggregated lender activation views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HQ</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FR-015</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Controlled export/feed to benchmarking pathway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6</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bl>
    <w:p>
      <w:pPr>
        <w:pStyle w:val="Heading1"/>
        <w:spacing w:after="120" w:before="360" w:line="312"/>
      </w:pPr>
      <w:bookmarkStart w:id="100005" w:name="_Toc100005"/>
      <w:r>
        <w:rPr>
          <w:rFonts w:ascii="Times New Roman" w:eastAsia="SimHei"/>
          <w:b/>
          <w:bCs/>
          <w:color w:val="182030"/>
        </w:rPr>
        <w:t xml:space="preserve">6. Non-Functional Requirements (Initial)</w:t>
      </w:r>
      <w:bookmarkEnd w:id="100005"/>
    </w:p>
    <w:p>
      <w:pPr>
        <w:spacing w:after="80" w:line="312"/>
        <w:ind w:firstLine="480"/>
        <w:jc w:val="both"/>
      </w:pPr>
      <w:r>
        <w:rPr>
          <w:rFonts w:ascii="Times New Roman" w:eastAsia="SimSun"/>
          <w:color w:val="182030"/>
          <w:sz w:val="24"/>
          <w:szCs w:val="24"/>
        </w:rPr>
        <w:t xml:space="preserve">Non-functional requirements define the quality attributes and constraints of the platform:</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gridCol w:w="100"/>
      </w:tblGrid>
      <w:tr>
        <w:trPr>
          <w:tblHeader/>
        </w:trPr>
        <w:tc>
          <w:tcPr>
            <w:tcW w:type="pct" w:w="1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 ID</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Requirement Statement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Source</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Priority</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Sprint Target</w:t>
            </w:r>
          </w:p>
        </w:tc>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Status</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NFR-001</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Mobile-first responsive web application or PWA</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NFR-002</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99.5% availability during business hours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NFR-003</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Offline-first with graceful degradation under weak connectivity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3-4</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NFR-004</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Role-based access control aligned to country, HQ, executive, product owner roles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NFR-005</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Immutable audit logs for all user and AI actions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NFR-006</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Idempotent integration design for sync/retry paths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3-5</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NFR-007</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Structured logs with correlation IDs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Operations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r>
        <w:trPr>
          <w:cantSplit/>
        </w:trPr>
        <w:tc>
          <w:tcPr>
            <w:tcW w:type="pct" w:w="1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NFR-008</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Feature flags for risky rollout paths</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Architecture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Should Have</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Sprint 3</w:t>
            </w:r>
          </w:p>
        </w:tc>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Not Started</w:t>
            </w:r>
          </w:p>
        </w:tc>
      </w:tr>
    </w:tbl>
    <w:p>
      <w:pPr>
        <w:pStyle w:val="Heading1"/>
        <w:spacing w:after="120" w:before="360" w:line="312"/>
      </w:pPr>
      <w:bookmarkStart w:id="100006" w:name="_Toc100006"/>
      <w:r>
        <w:rPr>
          <w:rFonts w:ascii="Times New Roman" w:eastAsia="SimHei"/>
          <w:b/>
          <w:bCs/>
          <w:color w:val="182030"/>
        </w:rPr>
        <w:t xml:space="preserve">7. Traceability Maintenance</w:t>
      </w:r>
      <w:bookmarkEnd w:id="100006"/>
    </w:p>
    <w:p>
      <w:pPr>
        <w:spacing w:after="80" w:line="312"/>
        <w:ind w:firstLine="480"/>
        <w:jc w:val="both"/>
      </w:pPr>
      <w:r>
        <w:rPr>
          <w:rFonts w:ascii="Times New Roman" w:eastAsia="SimSun"/>
          <w:color w:val="182030"/>
          <w:sz w:val="24"/>
          <w:szCs w:val="24"/>
        </w:rPr>
        <w:t xml:space="preserve">The RTM is updated at every sprint boundary. New requirements discovered during sprints are assigned IDs and traced forward. Requirements that are deferred or descoped are marked with rationale. The QA Automation Agent validates RTM completeness against test coverage at each sprint review. The Delivery Orchestrator ensures no feature build begins without a linked RTM entry.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Requirements Traceability Matrix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2026-06-12T05:11:47.308Z</dcterms:created>
  <dcterms:modified xsi:type="dcterms:W3CDTF">2026-06-12T05:11:47.308Z</dcterms:modified>
</cp:coreProperties>
</file>

<file path=docProps/custom.xml><?xml version="1.0" encoding="utf-8"?>
<Properties xmlns="http://schemas.openxmlformats.org/officeDocument/2006/custom-properties" xmlns:vt="http://schemas.openxmlformats.org/officeDocument/2006/docPropsVTypes"/>
</file>