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4085"/>
            </w:pPr>
          </w:p>
          <w:p>
            <w:pPr>
              <w:pBdr>
                <w:bottom w:val="single" w:sz="6" w:space="8"/>
              </w:pBdr>
              <w:spacing w:after="500"/>
              <w:ind w:left="1200" w:right="800"/>
            </w:pPr>
            <w:r>
              <w:rPr>
                <w:rFonts w:ascii="Calibri" w:eastAsia="SimHei"/>
                <w:spacing w:val="40"/>
                <w:sz w:val="18"/>
                <w:szCs w:val="18"/>
              </w:rPr>
              <w:t xml:space="preserve">S  E  C  U  R  I  T  Y     C  H  E  C  K  L  I  S  T</w:t>
            </w:r>
          </w:p>
          <w:p>
            <w:pPr>
              <w:spacing w:after="100" w:line="552" w:lineRule="atLeast"/>
              <w:ind w:left="1200"/>
            </w:pPr>
            <w:r>
              <w:rPr>
                <w:rFonts w:ascii="Arial" w:eastAsia="SimHei"/>
                <w:b/>
                <w:bCs/>
                <w:color w:val="FFFFFF"/>
                <w:sz w:val="48"/>
                <w:szCs w:val="48"/>
              </w:rPr>
              <w:t xml:space="preserve">Aceli LAT Security</w:t>
            </w:r>
          </w:p>
          <w:p>
            <w:pPr>
              <w:spacing w:after="100" w:line="552" w:lineRule="atLeast"/>
              <w:ind w:left="1200"/>
            </w:pPr>
            <w:r>
              <w:rPr>
                <w:rFonts w:ascii="Arial" w:eastAsia="SimHei"/>
                <w:b/>
                <w:bCs/>
                <w:color w:val="FFFFFF"/>
                <w:sz w:val="48"/>
                <w:szCs w:val="48"/>
              </w:rPr>
              <w:t xml:space="preserve">and Tenant Approval</w:t>
            </w:r>
          </w:p>
          <w:p>
            <w:pPr>
              <w:spacing w:after="300" w:line="552" w:lineRule="atLeast"/>
              <w:ind w:left="1200"/>
            </w:pPr>
            <w:r>
              <w:rPr>
                <w:rFonts w:ascii="Arial" w:eastAsia="SimHei"/>
                <w:b/>
                <w:bCs/>
                <w:color w:val="FFFFFF"/>
                <w:sz w:val="48"/>
                <w:szCs w:val="48"/>
              </w:rPr>
              <w:t xml:space="preserve">Checklist</w:t>
            </w:r>
          </w:p>
          <w:p>
            <w:pPr>
              <w:spacing w:after="800"/>
              <w:ind w:left="1200"/>
            </w:pPr>
            <w:r>
              <w:rPr>
                <w:rFonts w:ascii="Arial" w:eastAsia="Microsoft YaHei"/>
                <w:color w:val="B0B8C0"/>
                <w:sz w:val="24"/>
                <w:szCs w:val="24"/>
              </w:rPr>
              <w:t xml:space="preserve">Security Review and Tenant Approval Process for Production Build Components</w:t>
            </w:r>
          </w:p>
          <w:p>
            <w:pPr>
              <w:pBdr>
                <w:left w:val="single" w:sz="8" w:space="12"/>
              </w:pBdr>
              <w:spacing w:after="80"/>
              <w:ind w:left="1400"/>
            </w:pPr>
            <w:r>
              <w:rPr>
                <w:rFonts w:ascii="Arial" w:eastAsia="Microsoft YaHei"/>
                <w:color w:val="90989F"/>
                <w:sz w:val="24"/>
                <w:szCs w:val="24"/>
              </w:rPr>
              <w:t xml:space="preserve">Project: Aceli Africa LAT Platform</w:t>
            </w:r>
          </w:p>
          <w:p>
            <w:pPr>
              <w:pBdr>
                <w:left w:val="single" w:sz="8" w:space="12"/>
              </w:pBdr>
              <w:spacing w:after="80"/>
              <w:ind w:left="1400"/>
            </w:pPr>
            <w:r>
              <w:rPr>
                <w:rFonts w:ascii="Arial" w:eastAsia="Microsoft YaHei"/>
                <w:color w:val="90989F"/>
                <w:sz w:val="24"/>
                <w:szCs w:val="24"/>
              </w:rPr>
              <w:t xml:space="preserve">Version: 1.0</w:t>
            </w:r>
          </w:p>
          <w:p>
            <w:pPr>
              <w:pBdr>
                <w:left w:val="single" w:sz="8" w:space="12"/>
              </w:pBdr>
              <w:spacing w:after="80"/>
              <w:ind w:left="1400"/>
            </w:pPr>
            <w:r>
              <w:rPr>
                <w:rFonts w:ascii="Arial" w:eastAsia="Microsoft YaHei"/>
                <w:color w:val="90989F"/>
                <w:sz w:val="24"/>
                <w:szCs w:val="24"/>
              </w:rPr>
              <w:t xml:space="preserve">Date: 2026-06-12</w:t>
            </w:r>
          </w:p>
          <w:p>
            <w:pPr>
              <w:pBdr>
                <w:left w:val="single" w:sz="8" w:space="12"/>
              </w:pBdr>
              <w:spacing w:after="80"/>
              <w:ind w:left="1400"/>
            </w:pPr>
            <w:r>
              <w:rPr>
                <w:rFonts w:ascii="Arial" w:eastAsia="Microsoft YaHei"/>
                <w:color w:val="90989F"/>
                <w:sz w:val="24"/>
                <w:szCs w:val="24"/>
              </w:rPr>
              <w:t xml:space="preserve">Classification: Confidential</w:t>
            </w:r>
          </w:p>
          <w:p>
            <w:pPr>
              <w:spacing w:before="4085"/>
            </w:pPr>
          </w:p>
          <w:p>
            <w:pPr>
              <w:pBdr>
                <w:top w:val="single" w:sz="2" w:space="8"/>
              </w:pBdr>
              <w:spacing w:before="200"/>
              <w:ind w:left="1200" w:right="800"/>
            </w:pPr>
            <w:r>
              <w:rPr>
                <w:rFonts w:ascii="Arial"/>
                <w:color w:val="687078"/>
                <w:sz w:val="16"/>
                <w:szCs w:val="16"/>
              </w:rPr>
              <w:t xml:space="preserve">Aceli Africa</w:t>
            </w:r>
            <w:r>
              <w:t xml:space="preserve">                                        </w:t>
            </w:r>
            <w:r>
              <w:rPr>
                <w:rFonts w:ascii="Arial"/>
                <w:color w:val="687078"/>
                <w:sz w:val="16"/>
                <w:szCs w:val="16"/>
              </w:rPr>
              <w:t xml:space="preserve">Sprint 0 Deliverable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Checklist Purpose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Mandatory Enterprise Platforms (Pre-Approved)</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3. Components Requiring Security Review</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Security Review Criteria</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4.1 Data Residency Compliance</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4.2 Tenant Isolation</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4.3 Training Data Exclusion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4.4 Audit and Logging Capability</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4.5 Access Control</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4.6 Encryption</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4.7 Vulnerability Management</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4.8 Business Continuity</w:t>
            </w:r>
            <w:r>
              <w:tab/>
            </w:r>
            <w:r>
              <w:fldChar w:fldCharType="begin"/>
            </w:r>
            <w:r>
              <w:instrText xml:space="preserve"> PAGEREF _Toc100011 \h </w:instrText>
            </w:r>
            <w:r>
              <w:fldChar w:fldCharType="separate"/>
            </w:r>
            <w:r>
              <w:t>4</w:t>
            </w:r>
            <w:r>
              <w:fldChar w:fldCharType="end"/>
            </w:r>
          </w:hyperlink>
        </w:p>
        <w:p>
          <w:pPr>
            <w:pStyle w:val="9"/>
            <w:tabs>
              <w:tab w:val="right" w:leader="dot" w:pos="9026"/>
            </w:tabs>
            <w:spacing w:before="120" w:after="60"/>
          </w:pPr>
          <w:hyperlink w:anchor="_Toc100012" w:history="1">
            <w:r>
              <w:rPr>
                <w:rStyle w:val="Hyperlink"/>
              </w:rPr>
              <w:t>5. Tenant Approval Process</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5.1 Step 1: Component Identification</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5.2 Step 2: Security Review Submission</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5.3 Step 3: Red Team Assessment</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5.4 Step 4: Architecture Review</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5.5 Step 5: Approval Decision</w:t>
            </w:r>
            <w:r>
              <w:tab/>
            </w:r>
            <w:r>
              <w:fldChar w:fldCharType="begin"/>
            </w:r>
            <w:r>
              <w:instrText xml:space="preserve"> PAGEREF _Toc100017 \h </w:instrText>
            </w:r>
            <w:r>
              <w:fldChar w:fldCharType="separate"/>
            </w:r>
            <w:r>
              <w:t>5</w:t>
            </w:r>
            <w:r>
              <w:fldChar w:fldCharType="end"/>
            </w:r>
          </w:hyperlink>
        </w:p>
        <w:p>
          <w:pPr>
            <w:pStyle w:val="11"/>
            <w:ind w:left="360"/>
            <w:tabs>
              <w:tab w:val="right" w:leader="dot" w:pos="9026"/>
            </w:tabs>
            <w:spacing w:before="120" w:after="60"/>
          </w:pPr>
          <w:hyperlink w:anchor="_Toc100018" w:history="1">
            <w:r>
              <w:rPr>
                <w:rStyle w:val="Hyperlink"/>
              </w:rPr>
              <w:t>5.6 Step 6: Approved List Update</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5.7 Step 7: Ongoing Monitoring</w:t>
            </w:r>
            <w:r>
              <w:tab/>
            </w:r>
            <w:r>
              <w:fldChar w:fldCharType="begin"/>
            </w:r>
            <w:r>
              <w:instrText xml:space="preserve"> PAGEREF _Toc100019 \h </w:instrText>
            </w:r>
            <w:r>
              <w:fldChar w:fldCharType="separate"/>
            </w:r>
            <w:r>
              <w:t>6</w:t>
            </w:r>
            <w:r>
              <w:fldChar w:fldCharType="end"/>
            </w:r>
          </w:hyperlink>
        </w:p>
        <w:p>
          <w:pPr>
            <w:pStyle w:val="9"/>
            <w:tabs>
              <w:tab w:val="right" w:leader="dot" w:pos="9026"/>
            </w:tabs>
            <w:spacing w:before="120" w:after="60"/>
          </w:pPr>
          <w:hyperlink w:anchor="_Toc100020" w:history="1">
            <w:r>
              <w:rPr>
                <w:rStyle w:val="Hyperlink"/>
              </w:rPr>
              <w:t>6. Prohibited Components and Patterns</w:t>
            </w:r>
            <w:r>
              <w:tab/>
            </w:r>
            <w:r>
              <w:fldChar w:fldCharType="begin"/>
            </w:r>
            <w:r>
              <w:instrText xml:space="preserve"> PAGEREF _Toc100020 \h </w:instrText>
            </w:r>
            <w:r>
              <w:fldChar w:fldCharType="separate"/>
            </w:r>
            <w:r>
              <w:t>6</w:t>
            </w:r>
            <w:r>
              <w:fldChar w:fldCharType="end"/>
            </w:r>
          </w:hyperlink>
        </w:p>
        <w:p>
          <w:pPr>
            <w:pStyle w:val="9"/>
            <w:tabs>
              <w:tab w:val="right" w:leader="dot" w:pos="9026"/>
            </w:tabs>
            <w:spacing w:before="120" w:after="60"/>
          </w:pPr>
          <w:hyperlink w:anchor="_Toc100021" w:history="1">
            <w:r>
              <w:rPr>
                <w:rStyle w:val="Hyperlink"/>
              </w:rPr>
              <w:t>7. Compliance Validation Schedule</w:t>
            </w:r>
            <w:r>
              <w:tab/>
            </w:r>
            <w:r>
              <w:fldChar w:fldCharType="begin"/>
            </w:r>
            <w:r>
              <w:instrText xml:space="preserve"> PAGEREF _Toc100021 \h </w:instrText>
            </w:r>
            <w:r>
              <w:fldChar w:fldCharType="separate"/>
            </w:r>
            <w:r>
              <w:t>7</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82030"/>
        </w:rPr>
        <w:t xml:space="preserve">1. Checklist Purpose</w:t>
      </w:r>
      <w:bookmarkEnd w:id="100000"/>
    </w:p>
    <w:p>
      <w:pPr>
        <w:spacing w:after="80" w:line="312"/>
        <w:ind w:firstLine="480"/>
        <w:jc w:val="both"/>
      </w:pPr>
      <w:r>
        <w:rPr>
          <w:rFonts w:ascii="Times New Roman" w:eastAsia="SimSun"/>
          <w:color w:val="182030"/>
          <w:sz w:val="24"/>
          <w:szCs w:val="24"/>
        </w:rPr>
        <w:t xml:space="preserve">This checklist governs the security review and tenant approval process for all platforms, services, and tools used in the Aceli LAT production build. Per the RFP, any additional application runtime, middleware, storage, queue, mobile/web framework, observability stack, transcription component, or integration platform must pass Aceli information security review and be added to the approved list before contract execution if vendor-provided. This checklist ensures that no unapproved component enters the production build pipeline.</w:t>
      </w:r>
    </w:p>
    <w:p>
      <w:pPr>
        <w:pStyle w:val="Heading1"/>
        <w:spacing w:after="120" w:before="360" w:line="312"/>
      </w:pPr>
      <w:bookmarkStart w:id="100001" w:name="_Toc100001"/>
      <w:r>
        <w:rPr>
          <w:rFonts w:ascii="Times New Roman" w:eastAsia="SimHei"/>
          <w:b/>
          <w:bCs/>
          <w:color w:val="182030"/>
        </w:rPr>
        <w:t xml:space="preserve">2. Mandatory Enterprise Platforms (Pre-Approved)</w:t>
      </w:r>
      <w:bookmarkEnd w:id="100001"/>
    </w:p>
    <w:p>
      <w:pPr>
        <w:spacing w:after="80" w:line="312"/>
        <w:ind w:firstLine="480"/>
        <w:jc w:val="both"/>
      </w:pPr>
      <w:r>
        <w:rPr>
          <w:rFonts w:ascii="Times New Roman" w:eastAsia="SimSun"/>
          <w:color w:val="182030"/>
          <w:sz w:val="24"/>
          <w:szCs w:val="24"/>
        </w:rPr>
        <w:t xml:space="preserve">The following enterprise platforms are pre-approved for use in the Aceli LAT production build, subject to the conditions specified below. Each platform must operate within its designated Aceli-approved tenant and must not exceed its approved scope.</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tblGrid>
      <w:tr>
        <w:trPr>
          <w:tblHeader/>
        </w:trPr>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Platform</w:t>
            </w:r>
          </w:p>
        </w:tc>
        <w:tc>
          <w:tcPr>
            <w:tcW w:type="pct" w:w="3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Purpose</w:t>
            </w:r>
          </w:p>
        </w:tc>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Approval Status</w:t>
            </w:r>
          </w:p>
        </w:tc>
        <w:tc>
          <w:tcPr>
            <w:tcW w:type="pct" w:w="3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Conditions</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System of record, API integration target</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Pre-Approved</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operate within Aceli Salesforce tenant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Power BI</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Reporting, analytics, visualization</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Pre-Approved</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not become operational system of record</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Google Workspace</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Collaboration, document operations</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Pre-Approved</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operate within Aceli-approved enterprise tenant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Claude Team/Enterprise</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Governed AI processing</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Pre-Approved</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operate within Aceli-approved enterprise tenant; no data for model training</w:t>
            </w:r>
          </w:p>
        </w:tc>
      </w:tr>
    </w:tbl>
    <w:p>
      <w:pPr>
        <w:pStyle w:val="Heading1"/>
        <w:spacing w:after="120" w:before="360" w:line="312"/>
      </w:pPr>
      <w:bookmarkStart w:id="100002" w:name="_Toc100002"/>
      <w:r>
        <w:rPr>
          <w:rFonts w:ascii="Times New Roman" w:eastAsia="SimHei"/>
          <w:b/>
          <w:bCs/>
          <w:color w:val="182030"/>
        </w:rPr>
        <w:t xml:space="preserve">3. Components Requiring Security Review</w:t>
      </w:r>
      <w:bookmarkEnd w:id="100002"/>
    </w:p>
    <w:p>
      <w:pPr>
        <w:spacing w:after="80" w:line="312"/>
        <w:ind w:firstLine="480"/>
        <w:jc w:val="both"/>
      </w:pPr>
      <w:r>
        <w:rPr>
          <w:rFonts w:ascii="Times New Roman" w:eastAsia="SimSun"/>
          <w:color w:val="182030"/>
          <w:sz w:val="24"/>
          <w:szCs w:val="24"/>
        </w:rPr>
        <w:t xml:space="preserve">All components not listed in Section 2 as pre-approved must undergo a formal security review before being introduced into the production build. The table below identifies each component category, provides examples, and specifies the review authority and approval timeline.</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tblGrid>
      <w:tr>
        <w:trPr>
          <w:tblHeader/>
        </w:trPr>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Component Category</w:t>
            </w:r>
          </w:p>
        </w:tc>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Examples</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Review Required</w:t>
            </w:r>
          </w:p>
        </w:tc>
        <w:tc>
          <w:tcPr>
            <w:tcW w:type="pct" w:w="2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Review Authority</w:t>
            </w:r>
          </w:p>
        </w:tc>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Approval Timeline</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Application Runtime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Node.js, Python, Java</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Yes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 Red Team</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0-1</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Database/Storage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PostgreSQL, Redis, S3-equivalent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Yes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 Red Team</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0-1</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Message Queue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Kafka, RabbitMQ, SQS-equivalent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Yes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 Red Team</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0-1</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Mobile/Web Framework</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Next.js, React, PWA tooling</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Yes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 Red Team</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0-1</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Observability Stack</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Logging, monitoring, tracing tools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Yes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 Red Team</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0-1</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Transcription Service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Speech-to-text service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Yes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 Red Team + Architect</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0-1</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Integration Platform</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API gateway, ESB</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Yes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 Red Team</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0-1</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Identity Provider</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SSO, OAuth, MFA</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Yes</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 Red Team</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0-1</w:t>
            </w:r>
          </w:p>
        </w:tc>
      </w:tr>
    </w:tbl>
    <w:p>
      <w:pPr>
        <w:pStyle w:val="Heading1"/>
        <w:spacing w:after="120" w:before="360" w:line="312"/>
      </w:pPr>
      <w:bookmarkStart w:id="100003" w:name="_Toc100003"/>
      <w:r>
        <w:rPr>
          <w:rFonts w:ascii="Times New Roman" w:eastAsia="SimHei"/>
          <w:b/>
          <w:bCs/>
          <w:color w:val="182030"/>
        </w:rPr>
        <w:t xml:space="preserve">4. Security Review Criteria</w:t>
      </w:r>
      <w:bookmarkEnd w:id="100003"/>
    </w:p>
    <w:p>
      <w:pPr>
        <w:spacing w:after="80" w:line="312"/>
        <w:ind w:firstLine="480"/>
        <w:jc w:val="both"/>
      </w:pPr>
      <w:r>
        <w:rPr>
          <w:rFonts w:ascii="Times New Roman" w:eastAsia="SimSun"/>
          <w:color w:val="182030"/>
          <w:sz w:val="24"/>
          <w:szCs w:val="24"/>
        </w:rPr>
        <w:t xml:space="preserve">Each component must be evaluated against the following criteria. A component fails review if it does not satisfy all applicable criteria, or if any criterion is rated as unacceptable risk without a documented mitigation plan.</w:t>
      </w:r>
    </w:p>
    <w:p>
      <w:pPr>
        <w:pStyle w:val="Heading2"/>
        <w:spacing w:after="120" w:before="240" w:line="312"/>
      </w:pPr>
      <w:bookmarkStart w:id="100004" w:name="_Toc100004"/>
      <w:r>
        <w:rPr>
          <w:rFonts w:ascii="Times New Roman" w:eastAsia="SimHei"/>
          <w:b/>
          <w:bCs/>
          <w:color w:val="182030"/>
        </w:rPr>
        <w:t xml:space="preserve">4.1 Data Residency Compliance</w:t>
      </w:r>
      <w:bookmarkEnd w:id="100004"/>
    </w:p>
    <w:p>
      <w:pPr>
        <w:spacing w:after="80" w:line="312"/>
        <w:ind w:firstLine="480"/>
        <w:jc w:val="both"/>
      </w:pPr>
      <w:r>
        <w:rPr>
          <w:rFonts w:ascii="Times New Roman" w:eastAsia="SimSun"/>
          <w:color w:val="182030"/>
          <w:sz w:val="24"/>
          <w:szCs w:val="24"/>
        </w:rPr>
        <w:t xml:space="preserve">Does the component process or store data in approved jurisdictions? Does it comply with Aceli data residency requirements?</w:t>
      </w:r>
    </w:p>
    <w:p>
      <w:pPr>
        <w:pStyle w:val="Heading2"/>
        <w:spacing w:after="120" w:before="240" w:line="312"/>
      </w:pPr>
      <w:bookmarkStart w:id="100005" w:name="_Toc100005"/>
      <w:r>
        <w:rPr>
          <w:rFonts w:ascii="Times New Roman" w:eastAsia="SimHei"/>
          <w:b/>
          <w:bCs/>
          <w:color w:val="182030"/>
        </w:rPr>
        <w:t xml:space="preserve">4.2 Tenant Isolation</w:t>
      </w:r>
      <w:bookmarkEnd w:id="100005"/>
    </w:p>
    <w:p>
      <w:pPr>
        <w:spacing w:after="80" w:line="312"/>
        <w:ind w:firstLine="480"/>
        <w:jc w:val="both"/>
      </w:pPr>
      <w:r>
        <w:rPr>
          <w:rFonts w:ascii="Times New Roman" w:eastAsia="SimSun"/>
          <w:color w:val="182030"/>
          <w:sz w:val="24"/>
          <w:szCs w:val="24"/>
        </w:rPr>
        <w:t xml:space="preserve">Does the component operate within an Aceli-approved enterprise tenant? Is there risk of cross-tenant data exposure?</w:t>
      </w:r>
    </w:p>
    <w:p>
      <w:pPr>
        <w:pStyle w:val="Heading2"/>
        <w:spacing w:after="120" w:before="240" w:line="312"/>
      </w:pPr>
      <w:bookmarkStart w:id="100006" w:name="_Toc100006"/>
      <w:r>
        <w:rPr>
          <w:rFonts w:ascii="Times New Roman" w:eastAsia="SimHei"/>
          <w:b/>
          <w:bCs/>
          <w:color w:val="182030"/>
        </w:rPr>
        <w:t xml:space="preserve">4.3 Training Data Exclusion</w:t>
      </w:r>
      <w:bookmarkEnd w:id="100006"/>
    </w:p>
    <w:p>
      <w:pPr>
        <w:spacing w:after="80" w:line="312"/>
        <w:ind w:firstLine="480"/>
        <w:jc w:val="both"/>
      </w:pPr>
      <w:r>
        <w:rPr>
          <w:rFonts w:ascii="Times New Roman" w:eastAsia="SimSun"/>
          <w:color w:val="182030"/>
          <w:sz w:val="24"/>
          <w:szCs w:val="24"/>
        </w:rPr>
        <w:t xml:space="preserve">Does the component use input data for model training or fine-tuning? Can training be explicitly opted out?</w:t>
      </w:r>
    </w:p>
    <w:p>
      <w:pPr>
        <w:pStyle w:val="Heading2"/>
        <w:spacing w:after="120" w:before="240" w:line="312"/>
      </w:pPr>
      <w:bookmarkStart w:id="100007" w:name="_Toc100007"/>
      <w:r>
        <w:rPr>
          <w:rFonts w:ascii="Times New Roman" w:eastAsia="SimHei"/>
          <w:b/>
          <w:bCs/>
          <w:color w:val="182030"/>
        </w:rPr>
        <w:t xml:space="preserve">4.4 Audit and Logging Capability</w:t>
      </w:r>
      <w:bookmarkEnd w:id="100007"/>
    </w:p>
    <w:p>
      <w:pPr>
        <w:spacing w:after="80" w:line="312"/>
        <w:ind w:firstLine="480"/>
        <w:jc w:val="both"/>
      </w:pPr>
      <w:r>
        <w:rPr>
          <w:rFonts w:ascii="Times New Roman" w:eastAsia="SimSun"/>
          <w:color w:val="182030"/>
          <w:sz w:val="24"/>
          <w:szCs w:val="24"/>
        </w:rPr>
        <w:t xml:space="preserve">Does the component produce audit logs? Are logs exportable and immutable?</w:t>
      </w:r>
    </w:p>
    <w:p>
      <w:pPr>
        <w:pStyle w:val="Heading2"/>
        <w:spacing w:after="120" w:before="240" w:line="312"/>
      </w:pPr>
      <w:bookmarkStart w:id="100008" w:name="_Toc100008"/>
      <w:r>
        <w:rPr>
          <w:rFonts w:ascii="Times New Roman" w:eastAsia="SimHei"/>
          <w:b/>
          <w:bCs/>
          <w:color w:val="182030"/>
        </w:rPr>
        <w:t xml:space="preserve">4.5 Access Control</w:t>
      </w:r>
      <w:bookmarkEnd w:id="100008"/>
    </w:p>
    <w:p>
      <w:pPr>
        <w:spacing w:after="80" w:line="312"/>
        <w:ind w:firstLine="480"/>
        <w:jc w:val="both"/>
      </w:pPr>
      <w:r>
        <w:rPr>
          <w:rFonts w:ascii="Times New Roman" w:eastAsia="SimSun"/>
          <w:color w:val="182030"/>
          <w:sz w:val="24"/>
          <w:szCs w:val="24"/>
        </w:rPr>
        <w:t xml:space="preserve">Does the component support role-based access control? Can access be restricted to authorized personnel?</w:t>
      </w:r>
    </w:p>
    <w:p>
      <w:pPr>
        <w:pStyle w:val="Heading2"/>
        <w:spacing w:after="120" w:before="240" w:line="312"/>
      </w:pPr>
      <w:bookmarkStart w:id="100009" w:name="_Toc100009"/>
      <w:r>
        <w:rPr>
          <w:rFonts w:ascii="Times New Roman" w:eastAsia="SimHei"/>
          <w:b/>
          <w:bCs/>
          <w:color w:val="182030"/>
        </w:rPr>
        <w:t xml:space="preserve">4.6 Encryption</w:t>
      </w:r>
      <w:bookmarkEnd w:id="100009"/>
    </w:p>
    <w:p>
      <w:pPr>
        <w:spacing w:after="80" w:line="312"/>
        <w:ind w:firstLine="480"/>
        <w:jc w:val="both"/>
      </w:pPr>
      <w:r>
        <w:rPr>
          <w:rFonts w:ascii="Times New Roman" w:eastAsia="SimSun"/>
          <w:color w:val="182030"/>
          <w:sz w:val="24"/>
          <w:szCs w:val="24"/>
        </w:rPr>
        <w:t xml:space="preserve">Does the component encrypt data at rest and in transit? What encryption standards are used?</w:t>
      </w:r>
    </w:p>
    <w:p>
      <w:pPr>
        <w:pStyle w:val="Heading2"/>
        <w:spacing w:after="120" w:before="240" w:line="312"/>
      </w:pPr>
      <w:bookmarkStart w:id="100010" w:name="_Toc100010"/>
      <w:r>
        <w:rPr>
          <w:rFonts w:ascii="Times New Roman" w:eastAsia="SimHei"/>
          <w:b/>
          <w:bCs/>
          <w:color w:val="182030"/>
        </w:rPr>
        <w:t xml:space="preserve">4.7 Vulnerability Management</w:t>
      </w:r>
      <w:bookmarkEnd w:id="100010"/>
    </w:p>
    <w:p>
      <w:pPr>
        <w:spacing w:after="80" w:line="312"/>
        <w:ind w:firstLine="480"/>
        <w:jc w:val="both"/>
      </w:pPr>
      <w:r>
        <w:rPr>
          <w:rFonts w:ascii="Times New Roman" w:eastAsia="SimSun"/>
          <w:color w:val="182030"/>
          <w:sz w:val="24"/>
          <w:szCs w:val="24"/>
        </w:rPr>
        <w:t xml:space="preserve">Does the vendor provide timely security patches? What is the disclosure and remediation process?</w:t>
      </w:r>
    </w:p>
    <w:p>
      <w:pPr>
        <w:pStyle w:val="Heading2"/>
        <w:spacing w:after="120" w:before="240" w:line="312"/>
      </w:pPr>
      <w:bookmarkStart w:id="100011" w:name="_Toc100011"/>
      <w:r>
        <w:rPr>
          <w:rFonts w:ascii="Times New Roman" w:eastAsia="SimHei"/>
          <w:b/>
          <w:bCs/>
          <w:color w:val="182030"/>
        </w:rPr>
        <w:t xml:space="preserve">4.8 Business Continuity</w:t>
      </w:r>
      <w:bookmarkEnd w:id="100011"/>
    </w:p>
    <w:p>
      <w:pPr>
        <w:spacing w:after="80" w:line="312"/>
        <w:ind w:firstLine="480"/>
        <w:jc w:val="both"/>
      </w:pPr>
      <w:r>
        <w:rPr>
          <w:rFonts w:ascii="Times New Roman" w:eastAsia="SimSun"/>
          <w:color w:val="182030"/>
          <w:sz w:val="24"/>
          <w:szCs w:val="24"/>
        </w:rPr>
        <w:t xml:space="preserve">What is the vendor SLA for availability? Is there a disaster recovery plan?</w:t>
      </w:r>
    </w:p>
    <w:p>
      <w:pPr>
        <w:pStyle w:val="Heading1"/>
        <w:spacing w:after="120" w:before="360" w:line="312"/>
      </w:pPr>
      <w:bookmarkStart w:id="100012" w:name="_Toc100012"/>
      <w:r>
        <w:rPr>
          <w:rFonts w:ascii="Times New Roman" w:eastAsia="SimHei"/>
          <w:b/>
          <w:bCs/>
          <w:color w:val="182030"/>
        </w:rPr>
        <w:t xml:space="preserve">5. Tenant Approval Process</w:t>
      </w:r>
      <w:bookmarkEnd w:id="100012"/>
    </w:p>
    <w:p>
      <w:pPr>
        <w:spacing w:after="80" w:line="312"/>
        <w:ind w:firstLine="480"/>
        <w:jc w:val="both"/>
      </w:pPr>
      <w:r>
        <w:rPr>
          <w:rFonts w:ascii="Times New Roman" w:eastAsia="SimSun"/>
          <w:color w:val="182030"/>
          <w:sz w:val="24"/>
          <w:szCs w:val="24"/>
        </w:rPr>
        <w:t xml:space="preserve">The following seven-step process governs the approval of all components for use in the Aceli LAT production build. No component may enter the production pipeline without completing this process.</w:t>
      </w:r>
    </w:p>
    <w:p>
      <w:pPr>
        <w:pStyle w:val="Heading2"/>
        <w:spacing w:after="120" w:before="240" w:line="312"/>
      </w:pPr>
      <w:bookmarkStart w:id="100013" w:name="_Toc100013"/>
      <w:r>
        <w:rPr>
          <w:rFonts w:ascii="Times New Roman" w:eastAsia="SimHei"/>
          <w:b/>
          <w:bCs/>
          <w:color w:val="182030"/>
        </w:rPr>
        <w:t xml:space="preserve">5.1 Step 1: Component Identification</w:t>
      </w:r>
      <w:bookmarkEnd w:id="100013"/>
    </w:p>
    <w:p>
      <w:pPr>
        <w:spacing w:after="80" w:line="312"/>
        <w:ind w:firstLine="480"/>
        <w:jc w:val="both"/>
      </w:pPr>
      <w:r>
        <w:rPr>
          <w:rFonts w:ascii="Times New Roman" w:eastAsia="SimSun"/>
          <w:color w:val="182030"/>
          <w:sz w:val="24"/>
          <w:szCs w:val="24"/>
        </w:rPr>
        <w:t xml:space="preserve">Requesting agent identifies the component, version, and intended use.</w:t>
      </w:r>
    </w:p>
    <w:p>
      <w:pPr>
        <w:pStyle w:val="Heading2"/>
        <w:spacing w:after="120" w:before="240" w:line="312"/>
      </w:pPr>
      <w:bookmarkStart w:id="100014" w:name="_Toc100014"/>
      <w:r>
        <w:rPr>
          <w:rFonts w:ascii="Times New Roman" w:eastAsia="SimHei"/>
          <w:b/>
          <w:bCs/>
          <w:color w:val="182030"/>
        </w:rPr>
        <w:t xml:space="preserve">5.2 Step 2: Security Review Submission</w:t>
      </w:r>
      <w:bookmarkEnd w:id="100014"/>
    </w:p>
    <w:p>
      <w:pPr>
        <w:spacing w:after="80" w:line="312"/>
        <w:ind w:firstLine="480"/>
        <w:jc w:val="both"/>
      </w:pPr>
      <w:r>
        <w:rPr>
          <w:rFonts w:ascii="Times New Roman" w:eastAsia="SimSun"/>
          <w:color w:val="182030"/>
          <w:sz w:val="24"/>
          <w:szCs w:val="24"/>
        </w:rPr>
        <w:t xml:space="preserve">DevSecOps Agent completes the security review checklist for the component.</w:t>
      </w:r>
    </w:p>
    <w:p>
      <w:pPr>
        <w:pStyle w:val="Heading2"/>
        <w:spacing w:after="120" w:before="240" w:line="312"/>
      </w:pPr>
      <w:bookmarkStart w:id="100015" w:name="_Toc100015"/>
      <w:r>
        <w:rPr>
          <w:rFonts w:ascii="Times New Roman" w:eastAsia="SimHei"/>
          <w:b/>
          <w:bCs/>
          <w:color w:val="182030"/>
        </w:rPr>
        <w:t xml:space="preserve">5.3 Step 3: Red Team Assessment</w:t>
      </w:r>
      <w:bookmarkEnd w:id="100015"/>
    </w:p>
    <w:p>
      <w:pPr>
        <w:spacing w:after="80" w:line="312"/>
        <w:ind w:firstLine="480"/>
        <w:jc w:val="both"/>
      </w:pPr>
      <w:r>
        <w:rPr>
          <w:rFonts w:ascii="Times New Roman" w:eastAsia="SimSun"/>
          <w:color w:val="182030"/>
          <w:sz w:val="24"/>
          <w:szCs w:val="24"/>
        </w:rPr>
        <w:t xml:space="preserve">Red Team/Compliance Agent conducts independent security assessment.</w:t>
      </w:r>
    </w:p>
    <w:p>
      <w:pPr>
        <w:pStyle w:val="Heading2"/>
        <w:spacing w:after="120" w:before="240" w:line="312"/>
      </w:pPr>
      <w:bookmarkStart w:id="100016" w:name="_Toc100016"/>
      <w:r>
        <w:rPr>
          <w:rFonts w:ascii="Times New Roman" w:eastAsia="SimHei"/>
          <w:b/>
          <w:bCs/>
          <w:color w:val="182030"/>
        </w:rPr>
        <w:t xml:space="preserve">5.4 Step 4: Architecture Review</w:t>
      </w:r>
      <w:bookmarkEnd w:id="100016"/>
    </w:p>
    <w:p>
      <w:pPr>
        <w:spacing w:after="80" w:line="312"/>
        <w:ind w:firstLine="480"/>
        <w:jc w:val="both"/>
      </w:pPr>
      <w:r>
        <w:rPr>
          <w:rFonts w:ascii="Times New Roman" w:eastAsia="SimSun"/>
          <w:color w:val="182030"/>
          <w:sz w:val="24"/>
          <w:szCs w:val="24"/>
        </w:rPr>
        <w:t xml:space="preserve">Solution Architect evaluates integration impact and compatibility.</w:t>
      </w:r>
    </w:p>
    <w:p>
      <w:pPr>
        <w:pStyle w:val="Heading2"/>
        <w:spacing w:after="120" w:before="240" w:line="312"/>
      </w:pPr>
      <w:bookmarkStart w:id="100017" w:name="_Toc100017"/>
      <w:r>
        <w:rPr>
          <w:rFonts w:ascii="Times New Roman" w:eastAsia="SimHei"/>
          <w:b/>
          <w:bCs/>
          <w:color w:val="182030"/>
        </w:rPr>
        <w:t xml:space="preserve">5.5 Step 5: Approval Decision</w:t>
      </w:r>
      <w:bookmarkEnd w:id="100017"/>
    </w:p>
    <w:p>
      <w:pPr>
        <w:spacing w:after="80" w:line="312"/>
        <w:ind w:firstLine="480"/>
        <w:jc w:val="both"/>
      </w:pPr>
      <w:r>
        <w:rPr>
          <w:rFonts w:ascii="Times New Roman" w:eastAsia="SimSun"/>
          <w:color w:val="182030"/>
          <w:sz w:val="24"/>
          <w:szCs w:val="24"/>
        </w:rPr>
        <w:t xml:space="preserve">DevSecOps + Red Team + Architect jointly approve or reject; rejection requires rationale and alternative recommendation.</w:t>
      </w:r>
    </w:p>
    <w:p>
      <w:pPr>
        <w:pStyle w:val="Heading2"/>
        <w:spacing w:after="120" w:before="240" w:line="312"/>
      </w:pPr>
      <w:bookmarkStart w:id="100018" w:name="_Toc100018"/>
      <w:r>
        <w:rPr>
          <w:rFonts w:ascii="Times New Roman" w:eastAsia="SimHei"/>
          <w:b/>
          <w:bCs/>
          <w:color w:val="182030"/>
        </w:rPr>
        <w:t xml:space="preserve">5.6 Step 6: Approved List Update</w:t>
      </w:r>
      <w:bookmarkEnd w:id="100018"/>
    </w:p>
    <w:p>
      <w:pPr>
        <w:spacing w:after="80" w:line="312"/>
        <w:ind w:firstLine="480"/>
        <w:jc w:val="both"/>
      </w:pPr>
      <w:r>
        <w:rPr>
          <w:rFonts w:ascii="Times New Roman" w:eastAsia="SimSun"/>
          <w:color w:val="182030"/>
          <w:sz w:val="24"/>
          <w:szCs w:val="24"/>
        </w:rPr>
        <w:t xml:space="preserve">Approved component is added to the approved list with version, conditions, and review date.</w:t>
      </w:r>
    </w:p>
    <w:p>
      <w:pPr>
        <w:pStyle w:val="Heading2"/>
        <w:spacing w:after="120" w:before="240" w:line="312"/>
      </w:pPr>
      <w:bookmarkStart w:id="100019" w:name="_Toc100019"/>
      <w:r>
        <w:rPr>
          <w:rFonts w:ascii="Times New Roman" w:eastAsia="SimHei"/>
          <w:b/>
          <w:bCs/>
          <w:color w:val="182030"/>
        </w:rPr>
        <w:t xml:space="preserve">5.7 Step 7: Ongoing Monitoring</w:t>
      </w:r>
      <w:bookmarkEnd w:id="100019"/>
    </w:p>
    <w:p>
      <w:pPr>
        <w:spacing w:after="80" w:line="312"/>
        <w:ind w:firstLine="480"/>
        <w:jc w:val="both"/>
      </w:pPr>
      <w:r>
        <w:rPr>
          <w:rFonts w:ascii="Times New Roman" w:eastAsia="SimSun"/>
          <w:color w:val="182030"/>
          <w:sz w:val="24"/>
          <w:szCs w:val="24"/>
        </w:rPr>
        <w:t xml:space="preserve">Approved components are reviewed at phase transitions and on vulnerability disclosure.</w:t>
      </w:r>
    </w:p>
    <w:p>
      <w:pPr>
        <w:pStyle w:val="Heading1"/>
        <w:spacing w:after="120" w:before="360" w:line="312"/>
      </w:pPr>
      <w:bookmarkStart w:id="100020" w:name="_Toc100020"/>
      <w:r>
        <w:rPr>
          <w:rFonts w:ascii="Times New Roman" w:eastAsia="SimHei"/>
          <w:b/>
          <w:bCs/>
          <w:color w:val="182030"/>
        </w:rPr>
        <w:t xml:space="preserve">6. Prohibited Components and Patterns</w:t>
      </w:r>
      <w:bookmarkEnd w:id="100020"/>
    </w:p>
    <w:p>
      <w:pPr>
        <w:spacing w:after="80" w:line="312"/>
        <w:ind w:firstLine="480"/>
        <w:jc w:val="both"/>
      </w:pPr>
      <w:r>
        <w:rPr>
          <w:rFonts w:ascii="Times New Roman" w:eastAsia="SimSun"/>
          <w:color w:val="182030"/>
          <w:sz w:val="24"/>
          <w:szCs w:val="24"/>
        </w:rPr>
        <w:t xml:space="preserve">The following are explicitly prohibited without exception. No approval process exists for these items; they must never be introduced into the production build pipeline under any circumstances.</w:t>
      </w:r>
    </w:p>
    <w:p>
      <w:pPr>
        <w:pStyle w:val="ListParagraph"/>
        <w:numPr>
          <w:ilvl w:val="0"/>
          <w:numId w:val="1"/>
        </w:numPr>
        <w:spacing w:after="40" w:line="312"/>
      </w:pPr>
      <w:r>
        <w:rPr>
          <w:rFonts w:ascii="Times New Roman" w:eastAsia="SimSun"/>
          <w:color w:val="182030"/>
          <w:sz w:val="24"/>
          <w:szCs w:val="24"/>
        </w:rPr>
        <w:t xml:space="preserve">Direct production dependency on unapproved public LLM endpoints</w:t>
      </w:r>
    </w:p>
    <w:p>
      <w:pPr>
        <w:pStyle w:val="ListParagraph"/>
        <w:numPr>
          <w:ilvl w:val="0"/>
          <w:numId w:val="1"/>
        </w:numPr>
        <w:spacing w:after="40" w:line="312"/>
      </w:pPr>
      <w:r>
        <w:rPr>
          <w:rFonts w:ascii="Times New Roman" w:eastAsia="SimSun"/>
          <w:color w:val="182030"/>
          <w:sz w:val="24"/>
          <w:szCs w:val="24"/>
        </w:rPr>
        <w:t xml:space="preserve">Local shadow databases acting as source of truth</w:t>
      </w:r>
    </w:p>
    <w:p>
      <w:pPr>
        <w:pStyle w:val="ListParagraph"/>
        <w:numPr>
          <w:ilvl w:val="0"/>
          <w:numId w:val="1"/>
        </w:numPr>
        <w:spacing w:after="40" w:line="312"/>
      </w:pPr>
      <w:r>
        <w:rPr>
          <w:rFonts w:ascii="Times New Roman" w:eastAsia="SimSun"/>
          <w:color w:val="182030"/>
          <w:sz w:val="24"/>
          <w:szCs w:val="24"/>
        </w:rPr>
        <w:t xml:space="preserve">Spreadsheet export-based reconciliation workflows</w:t>
      </w:r>
    </w:p>
    <w:p>
      <w:pPr>
        <w:pStyle w:val="ListParagraph"/>
        <w:numPr>
          <w:ilvl w:val="0"/>
          <w:numId w:val="1"/>
        </w:numPr>
        <w:spacing w:after="40" w:line="312"/>
      </w:pPr>
      <w:r>
        <w:rPr>
          <w:rFonts w:ascii="Times New Roman" w:eastAsia="SimSun"/>
          <w:color w:val="182030"/>
          <w:sz w:val="24"/>
          <w:szCs w:val="24"/>
        </w:rPr>
        <w:t xml:space="preserve">Unreviewed schema mutations in Salesforce</w:t>
      </w:r>
    </w:p>
    <w:p>
      <w:pPr>
        <w:pStyle w:val="ListParagraph"/>
        <w:numPr>
          <w:ilvl w:val="0"/>
          <w:numId w:val="1"/>
        </w:numPr>
        <w:spacing w:after="40" w:line="312"/>
      </w:pPr>
      <w:r>
        <w:rPr>
          <w:rFonts w:ascii="Times New Roman" w:eastAsia="SimSun"/>
          <w:color w:val="182030"/>
          <w:sz w:val="24"/>
          <w:szCs w:val="24"/>
        </w:rPr>
        <w:t xml:space="preserve">Dashboards used as transactional capture tools</w:t>
      </w:r>
    </w:p>
    <w:p>
      <w:pPr>
        <w:pStyle w:val="ListParagraph"/>
        <w:numPr>
          <w:ilvl w:val="0"/>
          <w:numId w:val="1"/>
        </w:numPr>
        <w:spacing w:after="40" w:line="312"/>
      </w:pPr>
      <w:r>
        <w:rPr>
          <w:rFonts w:ascii="Times New Roman" w:eastAsia="SimSun"/>
          <w:color w:val="182030"/>
          <w:sz w:val="24"/>
          <w:szCs w:val="24"/>
        </w:rPr>
        <w:t xml:space="preserve">AI auto-writeback bypassing reviewer approval</w:t>
      </w:r>
    </w:p>
    <w:p>
      <w:pPr>
        <w:pStyle w:val="ListParagraph"/>
        <w:numPr>
          <w:ilvl w:val="0"/>
          <w:numId w:val="1"/>
        </w:numPr>
        <w:spacing w:after="40" w:line="312"/>
      </w:pPr>
      <w:r>
        <w:rPr>
          <w:rFonts w:ascii="Times New Roman" w:eastAsia="SimSun"/>
          <w:color w:val="182030"/>
          <w:sz w:val="24"/>
          <w:szCs w:val="24"/>
        </w:rPr>
        <w:t xml:space="preserve">Hardcoded secrets, tokens, or credentials</w:t>
      </w:r>
    </w:p>
    <w:p>
      <w:pPr>
        <w:pStyle w:val="ListParagraph"/>
        <w:numPr>
          <w:ilvl w:val="0"/>
          <w:numId w:val="1"/>
        </w:numPr>
        <w:spacing w:after="40" w:line="312"/>
      </w:pPr>
      <w:r>
        <w:rPr>
          <w:rFonts w:ascii="Times New Roman" w:eastAsia="SimSun"/>
          <w:color w:val="182030"/>
          <w:sz w:val="24"/>
          <w:szCs w:val="24"/>
        </w:rPr>
        <w:t xml:space="preserve">Unapproved third-party analytics or tracking services</w:t>
      </w:r>
    </w:p>
    <w:p>
      <w:pPr>
        <w:pStyle w:val="Heading1"/>
        <w:spacing w:after="120" w:before="360" w:line="312"/>
      </w:pPr>
      <w:bookmarkStart w:id="100021" w:name="_Toc100021"/>
      <w:r>
        <w:rPr>
          <w:rFonts w:ascii="Times New Roman" w:eastAsia="SimHei"/>
          <w:b/>
          <w:bCs/>
          <w:color w:val="182030"/>
        </w:rPr>
        <w:t xml:space="preserve">7. Compliance Validation Schedule</w:t>
      </w:r>
      <w:bookmarkEnd w:id="100021"/>
    </w:p>
    <w:p>
      <w:pPr>
        <w:spacing w:after="80" w:line="312"/>
        <w:ind w:firstLine="480"/>
        <w:jc w:val="both"/>
      </w:pPr>
      <w:r>
        <w:rPr>
          <w:rFonts w:ascii="Times New Roman" w:eastAsia="SimSun"/>
          <w:color w:val="182030"/>
          <w:sz w:val="24"/>
          <w:szCs w:val="24"/>
        </w:rPr>
        <w:t xml:space="preserve">Compliance validation occurs at the following points in the delivery lifecycle. Each validation point ensures that the approved component list remains current and that no unapproved components have entered the production pipeline.</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tblGrid>
      <w:tr>
        <w:trPr>
          <w:tblHeader/>
        </w:trPr>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Validation Point</w:t>
            </w:r>
          </w:p>
        </w:tc>
        <w:tc>
          <w:tcPr>
            <w:tcW w:type="pct" w:w="4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Scope</w:t>
            </w:r>
          </w:p>
        </w:tc>
        <w:tc>
          <w:tcPr>
            <w:tcW w:type="pct" w:w="3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Output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Initial approved list published; all mandatory platforms confirmed</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Approved component register</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Boundary</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New component additions reviewed and approved before use</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Updated approved list with new entries</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Phase Gates</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Full compliance review of all approved components; vulnerability assessment</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Phase gate compliance report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Ad-hoc</w:t>
            </w:r>
          </w:p>
        </w:tc>
        <w:tc>
          <w:tcPr>
            <w:tcW w:type="pct" w:w="4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Immediate review triggered by security incident or vulnerability disclosure</w:t>
            </w:r>
          </w:p>
        </w:tc>
        <w:tc>
          <w:tcPr>
            <w:tcW w:type="pct" w:w="3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Incident review and remediation report</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Aceli LAT Security and Tenant Approval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820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820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820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2026-06-12T05:17:08.831Z</dcterms:created>
  <dcterms:modified xsi:type="dcterms:W3CDTF">2026-06-12T05:17:08.831Z</dcterms:modified>
</cp:coreProperties>
</file>

<file path=docProps/custom.xml><?xml version="1.0" encoding="utf-8"?>
<Properties xmlns="http://schemas.openxmlformats.org/officeDocument/2006/custom-properties" xmlns:vt="http://schemas.openxmlformats.org/officeDocument/2006/docPropsVTypes"/>
</file>