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Borders>
              <w:top w:val="none" w:color="FFFFFF" w:sz="0"/>
              <w:left w:val="none" w:color="FFFFFF" w:sz="0"/>
              <w:bottom w:val="none" w:color="FFFFFF" w:sz="0"/>
              <w:right w:val="none" w:color="FFFFFF" w:sz="0"/>
            </w:tcBorders>
            <w:shd w:val="clear"/>
          </w:tcPr>
          <w:p>
            <w:pPr>
              <w:spacing w:before="4092"/>
            </w:pPr>
          </w:p>
          <w:p>
            <w:pPr>
              <w:pBdr>
                <w:bottom w:val="single" w:sz="6" w:space="8"/>
              </w:pBdr>
              <w:spacing w:after="500"/>
              <w:ind w:left="1200" w:right="800"/>
            </w:pPr>
            <w:r>
              <w:rPr>
                <w:rFonts w:ascii="Calibri" w:eastAsia="SimHei"/>
                <w:spacing w:val="40"/>
                <w:sz w:val="18"/>
                <w:szCs w:val="18"/>
              </w:rPr>
              <w:t xml:space="preserve">V  I  S  I  O  N     B  R  I  E  F</w:t>
            </w:r>
          </w:p>
          <w:p>
            <w:pPr>
              <w:spacing w:after="100" w:line="920" w:lineRule="atLeast"/>
              <w:ind w:left="1200"/>
            </w:pPr>
            <w:r>
              <w:rPr>
                <w:rFonts w:ascii="Arial" w:eastAsia="SimHei"/>
                <w:b/>
                <w:bCs/>
                <w:color w:val="FFFFFF"/>
                <w:sz w:val="80"/>
                <w:szCs w:val="80"/>
              </w:rPr>
              <w:t xml:space="preserve">Aceli LAT</w:t>
            </w:r>
          </w:p>
          <w:p>
            <w:pPr>
              <w:spacing w:after="300" w:line="920" w:lineRule="atLeast"/>
              <w:ind w:left="1200"/>
            </w:pPr>
            <w:r>
              <w:rPr>
                <w:rFonts w:ascii="Arial" w:eastAsia="SimHei"/>
                <w:b/>
                <w:bCs/>
                <w:color w:val="FFFFFF"/>
                <w:sz w:val="80"/>
                <w:szCs w:val="80"/>
              </w:rPr>
              <w:t xml:space="preserve">Vision Brief</w:t>
            </w:r>
          </w:p>
          <w:p>
            <w:pPr>
              <w:spacing w:after="800"/>
              <w:ind w:left="1200"/>
            </w:pPr>
            <w:r>
              <w:rPr>
                <w:rFonts w:ascii="Arial" w:eastAsia="Microsoft YaHei"/>
                <w:color w:val="B0B8C0"/>
                <w:sz w:val="24"/>
                <w:szCs w:val="24"/>
              </w:rPr>
              <w:t xml:space="preserve">AI-Enabled Lender Activation Tool for Africa</w:t>
            </w:r>
          </w:p>
          <w:p>
            <w:pPr>
              <w:pBdr>
                <w:left w:val="single" w:sz="8" w:space="12"/>
              </w:pBdr>
              <w:spacing w:after="80"/>
              <w:ind w:left="1400"/>
            </w:pPr>
            <w:r>
              <w:rPr>
                <w:rFonts w:ascii="Arial" w:eastAsia="Microsoft YaHei"/>
                <w:color w:val="90989F"/>
                <w:sz w:val="24"/>
                <w:szCs w:val="24"/>
              </w:rPr>
              <w:t xml:space="preserve">Project: Aceli Africa LAT Platform</w:t>
            </w:r>
          </w:p>
          <w:p>
            <w:pPr>
              <w:pBdr>
                <w:left w:val="single" w:sz="8" w:space="12"/>
              </w:pBdr>
              <w:spacing w:after="80"/>
              <w:ind w:left="1400"/>
            </w:pPr>
            <w:r>
              <w:rPr>
                <w:rFonts w:ascii="Arial" w:eastAsia="Microsoft YaHei"/>
                <w:color w:val="90989F"/>
                <w:sz w:val="24"/>
                <w:szCs w:val="24"/>
              </w:rPr>
              <w:t xml:space="preserve">Version: 1.0</w:t>
            </w:r>
          </w:p>
          <w:p>
            <w:pPr>
              <w:pBdr>
                <w:left w:val="single" w:sz="8" w:space="12"/>
              </w:pBdr>
              <w:spacing w:after="80"/>
              <w:ind w:left="1400"/>
            </w:pPr>
            <w:r>
              <w:rPr>
                <w:rFonts w:ascii="Arial" w:eastAsia="Microsoft YaHei"/>
                <w:color w:val="90989F"/>
                <w:sz w:val="24"/>
                <w:szCs w:val="24"/>
              </w:rPr>
              <w:t xml:space="preserve">Date: 2026-06-12</w:t>
            </w:r>
          </w:p>
          <w:p>
            <w:pPr>
              <w:pBdr>
                <w:left w:val="single" w:sz="8" w:space="12"/>
              </w:pBdr>
              <w:spacing w:after="80"/>
              <w:ind w:left="1400"/>
            </w:pPr>
            <w:r>
              <w:rPr>
                <w:rFonts w:ascii="Arial" w:eastAsia="Microsoft YaHei"/>
                <w:color w:val="90989F"/>
                <w:sz w:val="24"/>
                <w:szCs w:val="24"/>
              </w:rPr>
              <w:t xml:space="preserve">Classification: Confidential</w:t>
            </w:r>
          </w:p>
          <w:p>
            <w:pPr>
              <w:spacing w:before="4092"/>
            </w:pPr>
          </w:p>
          <w:p>
            <w:pPr>
              <w:pBdr>
                <w:top w:val="single" w:sz="2" w:space="8"/>
              </w:pBdr>
              <w:spacing w:before="200"/>
              <w:ind w:left="1200" w:right="800"/>
            </w:pPr>
            <w:r>
              <w:rPr>
                <w:rFonts w:ascii="Arial"/>
                <w:color w:val="687078"/>
                <w:sz w:val="16"/>
                <w:szCs w:val="16"/>
              </w:rPr>
              <w:t xml:space="preserve">Aceli Africa</w:t>
            </w:r>
            <w:r>
              <w:t xml:space="preserve">                                        </w:t>
            </w:r>
            <w:r>
              <w:rPr>
                <w:rFonts w:ascii="Arial"/>
                <w:color w:val="687078"/>
                <w:sz w:val="16"/>
                <w:szCs w:val="16"/>
              </w:rPr>
              <w:t xml:space="preserve">Sprint 0 Deliverable</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Problem Statement</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3. Vision Statement</w:t>
            </w:r>
            <w:r>
              <w:tab/>
            </w:r>
            <w:r>
              <w:fldChar w:fldCharType="begin"/>
            </w:r>
            <w:r>
              <w:instrText xml:space="preserve"> PAGEREF _Toc100002 \h </w:instrText>
            </w:r>
            <w:r>
              <w:fldChar w:fldCharType="separate"/>
            </w:r>
            <w:r>
              <w:t>2</w:t>
            </w:r>
            <w:r>
              <w:fldChar w:fldCharType="end"/>
            </w:r>
          </w:hyperlink>
        </w:p>
        <w:p>
          <w:pPr>
            <w:pStyle w:val="9"/>
            <w:tabs>
              <w:tab w:val="right" w:leader="dot" w:pos="9026"/>
            </w:tabs>
            <w:spacing w:before="120" w:after="60"/>
          </w:pPr>
          <w:hyperlink w:anchor="_Toc100003" w:history="1">
            <w:r>
              <w:rPr>
                <w:rStyle w:val="Hyperlink"/>
              </w:rPr>
              <w:t>4. Strategic Objectives</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4.1 Reconciliation Time Reduction</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4.2 Activation Gap Visibility</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4.3 Field Productivity and Adoption</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4.4 Governed AI-Assisted Updates</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4.5 Multi-Country Operational Readiness</w:t>
            </w:r>
            <w:r>
              <w:tab/>
            </w:r>
            <w:r>
              <w:fldChar w:fldCharType="begin"/>
            </w:r>
            <w:r>
              <w:instrText xml:space="preserve"> PAGEREF _Toc100008 \h </w:instrText>
            </w:r>
            <w:r>
              <w:fldChar w:fldCharType="separate"/>
            </w:r>
            <w:r>
              <w:t>4</w:t>
            </w:r>
            <w:r>
              <w:fldChar w:fldCharType="end"/>
            </w:r>
          </w:hyperlink>
        </w:p>
        <w:p>
          <w:pPr>
            <w:pStyle w:val="9"/>
            <w:tabs>
              <w:tab w:val="right" w:leader="dot" w:pos="9026"/>
            </w:tabs>
            <w:spacing w:before="120" w:after="60"/>
          </w:pPr>
          <w:hyperlink w:anchor="_Toc100009" w:history="1">
            <w:r>
              <w:rPr>
                <w:rStyle w:val="Hyperlink"/>
              </w:rPr>
              <w:t>5. Scope Boundaries</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5.1 In Scope</w:t>
            </w:r>
            <w:r>
              <w:tab/>
            </w:r>
            <w:r>
              <w:fldChar w:fldCharType="begin"/>
            </w:r>
            <w:r>
              <w:instrText xml:space="preserve"> PAGEREF _Toc100010 \h </w:instrText>
            </w:r>
            <w:r>
              <w:fldChar w:fldCharType="separate"/>
            </w:r>
            <w:r>
              <w:t>4</w:t>
            </w:r>
            <w:r>
              <w:fldChar w:fldCharType="end"/>
            </w:r>
          </w:hyperlink>
        </w:p>
        <w:p>
          <w:pPr>
            <w:pStyle w:val="11"/>
            <w:ind w:left="360"/>
            <w:tabs>
              <w:tab w:val="right" w:leader="dot" w:pos="9026"/>
            </w:tabs>
            <w:spacing w:before="120" w:after="60"/>
          </w:pPr>
          <w:hyperlink w:anchor="_Toc100011" w:history="1">
            <w:r>
              <w:rPr>
                <w:rStyle w:val="Hyperlink"/>
              </w:rPr>
              <w:t>5.2 Out of Scope</w:t>
            </w:r>
            <w:r>
              <w:tab/>
            </w:r>
            <w:r>
              <w:fldChar w:fldCharType="begin"/>
            </w:r>
            <w:r>
              <w:instrText xml:space="preserve"> PAGEREF _Toc100011 \h </w:instrText>
            </w:r>
            <w:r>
              <w:fldChar w:fldCharType="separate"/>
            </w:r>
            <w:r>
              <w:t>5</w:t>
            </w:r>
            <w:r>
              <w:fldChar w:fldCharType="end"/>
            </w:r>
          </w:hyperlink>
        </w:p>
        <w:p>
          <w:pPr>
            <w:pStyle w:val="9"/>
            <w:tabs>
              <w:tab w:val="right" w:leader="dot" w:pos="9026"/>
            </w:tabs>
            <w:spacing w:before="120" w:after="60"/>
          </w:pPr>
          <w:hyperlink w:anchor="_Toc100012" w:history="1">
            <w:r>
              <w:rPr>
                <w:rStyle w:val="Hyperlink"/>
              </w:rPr>
              <w:t>6. Guiding Principles</w:t>
            </w:r>
            <w:r>
              <w:tab/>
            </w:r>
            <w:r>
              <w:fldChar w:fldCharType="begin"/>
            </w:r>
            <w:r>
              <w:instrText xml:space="preserve"> PAGEREF _Toc100012 \h </w:instrText>
            </w:r>
            <w:r>
              <w:fldChar w:fldCharType="separate"/>
            </w:r>
            <w:r>
              <w:t>6</w:t>
            </w:r>
            <w:r>
              <w:fldChar w:fldCharType="end"/>
            </w:r>
          </w:hyperlink>
        </w:p>
        <w:p>
          <w:pPr>
            <w:pStyle w:val="9"/>
            <w:tabs>
              <w:tab w:val="right" w:leader="dot" w:pos="9026"/>
            </w:tabs>
            <w:spacing w:before="120" w:after="60"/>
          </w:pPr>
          <w:hyperlink w:anchor="_Toc100013" w:history="1">
            <w:r>
              <w:rPr>
                <w:rStyle w:val="Hyperlink"/>
              </w:rPr>
              <w:t>7. Success Criteria</w:t>
            </w:r>
            <w:r>
              <w:tab/>
            </w:r>
            <w:r>
              <w:fldChar w:fldCharType="begin"/>
            </w:r>
            <w:r>
              <w:instrText xml:space="preserve"> PAGEREF _Toc100013 \h </w:instrText>
            </w:r>
            <w:r>
              <w:fldChar w:fldCharType="separate"/>
            </w:r>
            <w:r>
              <w:t>8</w:t>
            </w:r>
            <w:r>
              <w:fldChar w:fldCharType="end"/>
            </w:r>
          </w:hyperlink>
        </w:p>
        <w:p>
          <w:pPr>
            <w:pStyle w:val="9"/>
            <w:tabs>
              <w:tab w:val="right" w:leader="dot" w:pos="9026"/>
            </w:tabs>
            <w:spacing w:before="120" w:after="60"/>
          </w:pPr>
          <w:hyperlink w:anchor="_Toc100014" w:history="1">
            <w:r>
              <w:rPr>
                <w:rStyle w:val="Hyperlink"/>
              </w:rPr>
              <w:t>8. Stakeholder Alignment</w:t>
            </w:r>
            <w:r>
              <w:tab/>
            </w:r>
            <w:r>
              <w:fldChar w:fldCharType="begin"/>
            </w:r>
            <w:r>
              <w:instrText xml:space="preserve"> PAGEREF _Toc100014 \h </w:instrText>
            </w:r>
            <w:r>
              <w:fldChar w:fldCharType="separate"/>
            </w:r>
            <w:r>
              <w:t>9</w:t>
            </w:r>
            <w:r>
              <w:fldChar w:fldCharType="end"/>
            </w:r>
          </w:hyperlink>
        </w:p>
        <w:p>
          <w:pPr>
            <w:pStyle w:val="9"/>
            <w:tabs>
              <w:tab w:val="right" w:leader="dot" w:pos="9026"/>
            </w:tabs>
            <w:spacing w:before="120" w:after="60"/>
          </w:pPr>
          <w:hyperlink w:anchor="_Toc100015" w:history="1">
            <w:r>
              <w:rPr>
                <w:rStyle w:val="Hyperlink"/>
              </w:rPr>
              <w:t>9. Key Risks and Constraints</w:t>
            </w:r>
            <w:r>
              <w:tab/>
            </w:r>
            <w:r>
              <w:fldChar w:fldCharType="begin"/>
            </w:r>
            <w:r>
              <w:instrText xml:space="preserve"> PAGEREF _Toc100015 \h </w:instrText>
            </w:r>
            <w:r>
              <w:fldChar w:fldCharType="separate"/>
            </w:r>
            <w:r>
              <w:t>9</w:t>
            </w:r>
            <w:r>
              <w:fldChar w:fldCharType="end"/>
            </w:r>
          </w:hyperlink>
        </w:p>
        <w:p>
          <w:pPr>
            <w:pStyle w:val="9"/>
            <w:tabs>
              <w:tab w:val="right" w:leader="dot" w:pos="9026"/>
            </w:tabs>
            <w:spacing w:before="120" w:after="60"/>
          </w:pPr>
          <w:hyperlink w:anchor="_Toc100016" w:history="1">
            <w:r>
              <w:rPr>
                <w:rStyle w:val="Hyperlink"/>
              </w:rPr>
              <w:t>10. Next Steps</w:t>
            </w:r>
            <w:r>
              <w:tab/>
            </w:r>
            <w:r>
              <w:fldChar w:fldCharType="begin"/>
            </w:r>
            <w:r>
              <w:instrText xml:space="preserve"> PAGEREF _Toc100016 \h </w:instrText>
            </w:r>
            <w:r>
              <w:fldChar w:fldCharType="separate"/>
            </w:r>
            <w:r>
              <w:t>10</w:t>
            </w:r>
            <w:r>
              <w:fldChar w:fldCharType="end"/>
            </w:r>
          </w:hyperlink>
        </w:p>
        <w:p>
          <w:r>
            <w:fldChar w:fldCharType="end"/>
          </w:r>
        </w:p>
      </w:sdtContent>
    </w:sdt>
    <w:p>
      <w:pPr>
        <w:spacing w:before="200"/>
      </w:pPr>
      <w:r>
        <w:rPr>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20" w:before="360" w:line="312"/>
      </w:pPr>
      <w:bookmarkStart w:id="100000" w:name="_Toc100000"/>
      <w:r>
        <w:rPr>
          <w:rFonts w:ascii="Times New Roman" w:eastAsia="SimHei"/>
          <w:b/>
          <w:bCs/>
          <w:color w:val="182030"/>
        </w:rPr>
        <w:t xml:space="preserve">1. Executive Summary</w:t>
      </w:r>
      <w:bookmarkEnd w:id="100000"/>
    </w:p>
    <w:p>
      <w:pPr>
        <w:spacing w:after="80" w:line="312"/>
        <w:ind w:firstLine="480"/>
        <w:jc w:val="both"/>
      </w:pPr>
      <w:r>
        <w:rPr>
          <w:rFonts w:ascii="Times New Roman" w:eastAsia="SimSun"/>
          <w:color w:val="182030"/>
          <w:sz w:val="24"/>
          <w:szCs w:val="24"/>
        </w:rPr>
        <w:t xml:space="preserve">The Aceli Lender Activation Tool (LAT) is an AI-enabled platform designed to transform how Aceli Africa manages lender relationship intelligence across its five-country operational footprint. The LAT platform replaces a fragmented Google Sheets-based process with a governed, field-ready application that integrates AI-powered transcription and extraction, human-in-the-loop review, controlled Salesforce write-back, and structured benchmarking feeds. This vision brief establishes the strategic rationale, core objectives, and guiding principles for the LAT production build.</w:t>
      </w:r>
    </w:p>
    <w:p>
      <w:pPr>
        <w:spacing w:after="80" w:line="312"/>
        <w:ind w:firstLine="480"/>
        <w:jc w:val="both"/>
      </w:pPr>
      <w:r>
        <w:rPr>
          <w:rFonts w:ascii="Times New Roman" w:eastAsia="SimSun"/>
          <w:color w:val="182030"/>
          <w:sz w:val="24"/>
          <w:szCs w:val="24"/>
        </w:rPr>
        <w:t xml:space="preserve">The platform is explicitly production-first, not MVP-first. Every sprint must produce working software, controlled documentation, test evidence, and operational artifacts. The build is designed for execution by a multi-agent engineering organization and follows a ten-sprint plan across four phases: discovery and design (Phase 0), pilot build and deployment (Phase 1), phased multi-country rollout (Phase 2), and post-rollout warranty and continuous improvement (Phase 3).</w:t>
      </w:r>
    </w:p>
    <w:p>
      <w:pPr>
        <w:pStyle w:val="Heading1"/>
        <w:spacing w:after="120" w:before="360" w:line="312"/>
      </w:pPr>
      <w:bookmarkStart w:id="100001" w:name="_Toc100001"/>
      <w:r>
        <w:rPr>
          <w:rFonts w:ascii="Times New Roman" w:eastAsia="SimHei"/>
          <w:b/>
          <w:bCs/>
          <w:color w:val="182030"/>
        </w:rPr>
        <w:t xml:space="preserve">2. Problem Statement</w:t>
      </w:r>
      <w:bookmarkEnd w:id="100001"/>
    </w:p>
    <w:p>
      <w:pPr>
        <w:spacing w:after="80" w:line="312"/>
        <w:ind w:firstLine="480"/>
        <w:jc w:val="both"/>
      </w:pPr>
      <w:r>
        <w:rPr>
          <w:rFonts w:ascii="Times New Roman" w:eastAsia="SimSun"/>
          <w:color w:val="182030"/>
          <w:sz w:val="24"/>
          <w:szCs w:val="24"/>
        </w:rPr>
        <w:t xml:space="preserve">Aceli Africa currently relies on Google Sheets as the primary tool for capturing, tracking, and reconciling lender activation data across five countries. This approach introduces significant operational risks and productivity losses that undermine the organization’s mission of strengthening agricultural lending in sub-Saharan Africa.</w:t>
      </w:r>
    </w:p>
    <w:p>
      <w:pPr>
        <w:spacing w:after="80" w:line="312"/>
        <w:ind w:firstLine="480"/>
        <w:jc w:val="both"/>
      </w:pPr>
      <w:r>
        <w:rPr>
          <w:rFonts w:ascii="Times New Roman" w:eastAsia="SimSun"/>
          <w:color w:val="182030"/>
          <w:sz w:val="24"/>
          <w:szCs w:val="24"/>
        </w:rPr>
        <w:t xml:space="preserve">Field staff, including Country Directors and Country Managers, currently spend substantial time on manual data entry, reconciliation, and status tracking. There is no structured workflow for capturing qualitative intelligence from lender meetings, no AI-assisted extraction of key updates from voice or text notes, and no governed pathway for updating lender records in Salesforce. Reconciliation between spreadsheets and the system of record is error-prone, time-consuming, and lacks audit trails.</w:t>
      </w:r>
    </w:p>
    <w:p>
      <w:pPr>
        <w:spacing w:after="80" w:line="312"/>
        <w:ind w:firstLine="480"/>
        <w:jc w:val="both"/>
      </w:pPr>
      <w:r>
        <w:rPr>
          <w:rFonts w:ascii="Times New Roman" w:eastAsia="SimSun"/>
          <w:color w:val="182030"/>
          <w:sz w:val="24"/>
          <w:szCs w:val="24"/>
        </w:rPr>
        <w:t xml:space="preserve">The absence of offline-capable tools means field staff in low-bandwidth environments cannot reliably capture meeting outcomes. Without structured review and approval workflows, data quality cannot be assured before updates reach Salesforce. Power BI dashboards are sometimes used for ad-hoc data capture, blurring the line between analytics and operational systems and creating shadow data stores that violate data governance principles.</w:t>
      </w:r>
    </w:p>
    <w:p>
      <w:pPr>
        <w:pStyle w:val="Heading1"/>
        <w:spacing w:after="120" w:before="360" w:line="312"/>
      </w:pPr>
      <w:bookmarkStart w:id="100002" w:name="_Toc100002"/>
      <w:r>
        <w:rPr>
          <w:rFonts w:ascii="Times New Roman" w:eastAsia="SimHei"/>
          <w:b/>
          <w:bCs/>
          <w:color w:val="182030"/>
        </w:rPr>
        <w:t xml:space="preserve">3. Vision Statement</w:t>
      </w:r>
      <w:bookmarkEnd w:id="100002"/>
    </w:p>
    <w:p>
      <w:pPr>
        <w:spacing w:after="80" w:line="312"/>
        <w:ind w:firstLine="480"/>
        <w:jc w:val="both"/>
      </w:pPr>
      <w:r>
        <w:rPr>
          <w:rFonts w:ascii="Times New Roman" w:eastAsia="SimSun"/>
          <w:color w:val="182030"/>
          <w:sz w:val="24"/>
          <w:szCs w:val="24"/>
        </w:rPr>
        <w:t xml:space="preserve">The LAT platform will serve as the field-facing workflow and intelligence layer that empowers Aceli’s country teams to capture, structure, review, and act on lender relationship intelligence with speed, accuracy, and full auditability. It will integrate seamlessly with Salesforce as the system of record, feed controlled data to benchmarking and analytics systems, and ensure that every AI-generated insight passes through human review before affecting official records.</w:t>
      </w:r>
    </w:p>
    <w:p>
      <w:pPr>
        <w:spacing w:after="80" w:line="312"/>
        <w:ind w:firstLine="480"/>
        <w:jc w:val="both"/>
      </w:pPr>
      <w:r>
        <w:rPr>
          <w:rFonts w:ascii="Times New Roman" w:eastAsia="SimSun"/>
          <w:color w:val="182030"/>
          <w:sz w:val="24"/>
          <w:szCs w:val="24"/>
        </w:rPr>
        <w:t xml:space="preserve">The vision is anchored in three pillars: intelligent capture, governed workflow, and operational resilience. Intelligent capture means field staff can record voice memos or type notes that are automatically transcribed and structured into the six activation areas. Governed workflow means every AI-suggested update is reviewed, approved, and logged before write-back. Operational resilience means the platform works reliably in low-bandwidth environments, supports offline capture with later synchronization, and meets 99.5% availability targets during business hours.</w:t>
      </w:r>
    </w:p>
    <w:p>
      <w:pPr>
        <w:pStyle w:val="Heading1"/>
        <w:spacing w:after="120" w:before="360" w:line="312"/>
      </w:pPr>
      <w:bookmarkStart w:id="100003" w:name="_Toc100003"/>
      <w:r>
        <w:rPr>
          <w:rFonts w:ascii="Times New Roman" w:eastAsia="SimHei"/>
          <w:b/>
          <w:bCs/>
          <w:color w:val="182030"/>
        </w:rPr>
        <w:t xml:space="preserve">4. Strategic Objectives</w:t>
      </w:r>
      <w:bookmarkEnd w:id="100003"/>
    </w:p>
    <w:p>
      <w:pPr>
        <w:pStyle w:val="Heading2"/>
        <w:spacing w:after="120" w:before="240" w:line="312"/>
      </w:pPr>
      <w:bookmarkStart w:id="100004" w:name="_Toc100004"/>
      <w:r>
        <w:rPr>
          <w:rFonts w:ascii="Times New Roman" w:eastAsia="SimHei"/>
          <w:b/>
          <w:bCs/>
          <w:color w:val="182030"/>
        </w:rPr>
        <w:t xml:space="preserve">4.1 Reconciliation Time Reduction</w:t>
      </w:r>
      <w:bookmarkEnd w:id="100004"/>
    </w:p>
    <w:p>
      <w:pPr>
        <w:spacing w:after="80" w:line="312"/>
        <w:ind w:firstLine="480"/>
        <w:jc w:val="both"/>
      </w:pPr>
      <w:r>
        <w:rPr>
          <w:rFonts w:ascii="Times New Roman" w:eastAsia="SimSun"/>
          <w:color w:val="182030"/>
          <w:sz w:val="24"/>
          <w:szCs w:val="24"/>
        </w:rPr>
        <w:t xml:space="preserve">The platform must deliver a measurable reduction of at least 60% in the time required to reconcile lender activation data compared to the current Google Sheets-based baseline. This target is explicitly stated in the RFP and must be evidenced through a structured baseline measurement and pilot comparison, not estimated or assumed. The baseline measurement methodology will be defined during Sprint 1 and executed before the pilot goes live.</w:t>
      </w:r>
    </w:p>
    <w:p>
      <w:pPr>
        <w:pStyle w:val="Heading2"/>
        <w:spacing w:after="120" w:before="240" w:line="312"/>
      </w:pPr>
      <w:bookmarkStart w:id="100005" w:name="_Toc100005"/>
      <w:r>
        <w:rPr>
          <w:rFonts w:ascii="Times New Roman" w:eastAsia="SimHei"/>
          <w:b/>
          <w:bCs/>
          <w:color w:val="182030"/>
        </w:rPr>
        <w:t xml:space="preserve">4.2 Activation Gap Visibility</w:t>
      </w:r>
      <w:bookmarkEnd w:id="100005"/>
    </w:p>
    <w:p>
      <w:pPr>
        <w:spacing w:after="80" w:line="312"/>
        <w:ind w:firstLine="480"/>
        <w:jc w:val="both"/>
      </w:pPr>
      <w:r>
        <w:rPr>
          <w:rFonts w:ascii="Times New Roman" w:eastAsia="SimSun"/>
          <w:color w:val="182030"/>
          <w:sz w:val="24"/>
          <w:szCs w:val="24"/>
        </w:rPr>
        <w:t xml:space="preserve">The platform must provide real-time visibility into lender activation gaps across all five countries. Country Directors, Country Managers, and HQ staff must be able to see which lenders have outstanding actions, incomplete activation areas, or pending review decisions. This visibility must be structured, role-filtered, and traceable to reviewed source data, not assembled through manual spreadsheet exports.</w:t>
      </w:r>
    </w:p>
    <w:p>
      <w:pPr>
        <w:pStyle w:val="Heading2"/>
        <w:spacing w:after="120" w:before="240" w:line="312"/>
      </w:pPr>
      <w:bookmarkStart w:id="100006" w:name="_Toc100006"/>
      <w:r>
        <w:rPr>
          <w:rFonts w:ascii="Times New Roman" w:eastAsia="SimHei"/>
          <w:b/>
          <w:bCs/>
          <w:color w:val="182030"/>
        </w:rPr>
        <w:t xml:space="preserve">4.3 Field Productivity and Adoption</w:t>
      </w:r>
      <w:bookmarkEnd w:id="100006"/>
    </w:p>
    <w:p>
      <w:pPr>
        <w:spacing w:after="80" w:line="312"/>
        <w:ind w:firstLine="480"/>
        <w:jc w:val="both"/>
      </w:pPr>
      <w:r>
        <w:rPr>
          <w:rFonts w:ascii="Times New Roman" w:eastAsia="SimSun"/>
          <w:color w:val="182030"/>
          <w:sz w:val="24"/>
          <w:szCs w:val="24"/>
        </w:rPr>
        <w:t xml:space="preserve">The platform must demonstrate monthly active use by field staff across all five countries following rollout. Adoption is not optional; it is a contractual success criterion. The platform must be designed for low-bandwidth environments, support offline capture, and provide a mobile-first user experience that reduces rather than increases the administrative burden on field teams.</w:t>
      </w:r>
    </w:p>
    <w:p>
      <w:pPr>
        <w:pStyle w:val="Heading2"/>
        <w:spacing w:after="120" w:before="240" w:line="312"/>
      </w:pPr>
      <w:bookmarkStart w:id="100007" w:name="_Toc100007"/>
      <w:r>
        <w:rPr>
          <w:rFonts w:ascii="Times New Roman" w:eastAsia="SimHei"/>
          <w:b/>
          <w:bCs/>
          <w:color w:val="182030"/>
        </w:rPr>
        <w:t xml:space="preserve">4.4 Governed AI-Assisted Updates</w:t>
      </w:r>
      <w:bookmarkEnd w:id="100007"/>
    </w:p>
    <w:p>
      <w:pPr>
        <w:spacing w:after="80" w:line="312"/>
        <w:ind w:firstLine="480"/>
        <w:jc w:val="both"/>
      </w:pPr>
      <w:r>
        <w:rPr>
          <w:rFonts w:ascii="Times New Roman" w:eastAsia="SimSun"/>
          <w:color w:val="182030"/>
          <w:sz w:val="24"/>
          <w:szCs w:val="24"/>
        </w:rPr>
        <w:t xml:space="preserve">All AI-suggested lender updates must pass through a structured human review process before any data is written back to Salesforce or other approved systems. There must be no auto-commit of AI-generated fields, no bypass of the review workflow, and no shadow databases. Every AI decision, reviewer action, and data update must produce an immutable audit log that is exportable and review-ready.</w:t>
      </w:r>
    </w:p>
    <w:p>
      <w:pPr>
        <w:pStyle w:val="Heading2"/>
        <w:spacing w:after="120" w:before="240" w:line="312"/>
      </w:pPr>
      <w:bookmarkStart w:id="100008" w:name="_Toc100008"/>
      <w:r>
        <w:rPr>
          <w:rFonts w:ascii="Times New Roman" w:eastAsia="SimHei"/>
          <w:b/>
          <w:bCs/>
          <w:color w:val="182030"/>
        </w:rPr>
        <w:t xml:space="preserve">4.5 Multi-Country Operational Readiness</w:t>
      </w:r>
      <w:bookmarkEnd w:id="100008"/>
    </w:p>
    <w:p>
      <w:pPr>
        <w:spacing w:after="80" w:line="312"/>
        <w:ind w:firstLine="480"/>
        <w:jc w:val="both"/>
      </w:pPr>
      <w:r>
        <w:rPr>
          <w:rFonts w:ascii="Times New Roman" w:eastAsia="SimSun"/>
          <w:color w:val="182030"/>
          <w:sz w:val="24"/>
          <w:szCs w:val="24"/>
        </w:rPr>
        <w:t xml:space="preserve">The platform must be fully operational across all five Aceli countries by the end of Phase 2, with bidirectional Salesforce synchronization verified, country-specific configurations applied, training completed, and weekly active use instrumented and measurable. Rollout readiness for each country requires explicit sign-off against a country readiness checklist.</w:t>
      </w:r>
    </w:p>
    <w:p>
      <w:pPr>
        <w:pStyle w:val="Heading1"/>
        <w:spacing w:after="120" w:before="360" w:line="312"/>
      </w:pPr>
      <w:bookmarkStart w:id="100009" w:name="_Toc100009"/>
      <w:r>
        <w:rPr>
          <w:rFonts w:ascii="Times New Roman" w:eastAsia="SimHei"/>
          <w:b/>
          <w:bCs/>
          <w:color w:val="182030"/>
        </w:rPr>
        <w:t xml:space="preserve">5. Scope Boundaries</w:t>
      </w:r>
      <w:bookmarkEnd w:id="100009"/>
    </w:p>
    <w:p>
      <w:pPr>
        <w:pStyle w:val="Heading2"/>
        <w:spacing w:after="120" w:before="240" w:line="312"/>
      </w:pPr>
      <w:bookmarkStart w:id="100010" w:name="_Toc100010"/>
      <w:r>
        <w:rPr>
          <w:rFonts w:ascii="Times New Roman" w:eastAsia="SimHei"/>
          <w:b/>
          <w:bCs/>
          <w:color w:val="182030"/>
        </w:rPr>
        <w:t xml:space="preserve">5.1 In Scope</w:t>
      </w:r>
      <w:bookmarkEnd w:id="100010"/>
    </w:p>
    <w:p>
      <w:pPr>
        <w:pStyle w:val="ListParagraph"/>
        <w:numPr>
          <w:ilvl w:val="0"/>
          <w:numId w:val="1"/>
        </w:numPr>
        <w:spacing w:after="40" w:line="312"/>
      </w:pPr>
      <w:r>
        <w:rPr>
          <w:rFonts w:ascii="Times New Roman" w:eastAsia="SimSun"/>
          <w:color w:val="182030"/>
          <w:sz w:val="24"/>
          <w:szCs w:val="24"/>
        </w:rPr>
        <w:t xml:space="preserve">Mobile-first responsive web application (PWA) for field capture and review</w:t>
      </w:r>
    </w:p>
    <w:p>
      <w:pPr>
        <w:pStyle w:val="ListParagraph"/>
        <w:numPr>
          <w:ilvl w:val="0"/>
          <w:numId w:val="1"/>
        </w:numPr>
        <w:spacing w:after="40" w:line="312"/>
      </w:pPr>
      <w:r>
        <w:rPr>
          <w:rFonts w:ascii="Times New Roman" w:eastAsia="SimSun"/>
          <w:color w:val="182030"/>
          <w:sz w:val="24"/>
          <w:szCs w:val="24"/>
        </w:rPr>
        <w:t xml:space="preserve">AI-powered transcription, extraction, and structured mapping to six activation areas</w:t>
      </w:r>
    </w:p>
    <w:p>
      <w:pPr>
        <w:pStyle w:val="ListParagraph"/>
        <w:numPr>
          <w:ilvl w:val="0"/>
          <w:numId w:val="1"/>
        </w:numPr>
        <w:spacing w:after="40" w:line="312"/>
      </w:pPr>
      <w:r>
        <w:rPr>
          <w:rFonts w:ascii="Times New Roman" w:eastAsia="SimSun"/>
          <w:color w:val="182030"/>
          <w:sz w:val="24"/>
          <w:szCs w:val="24"/>
        </w:rPr>
        <w:t xml:space="preserve">Human-in-the-loop review workbench with edit, approve, reject, and follow-up states</w:t>
      </w:r>
    </w:p>
    <w:p>
      <w:pPr>
        <w:pStyle w:val="ListParagraph"/>
        <w:numPr>
          <w:ilvl w:val="0"/>
          <w:numId w:val="1"/>
        </w:numPr>
        <w:spacing w:after="40" w:line="312"/>
      </w:pPr>
      <w:r>
        <w:rPr>
          <w:rFonts w:ascii="Times New Roman" w:eastAsia="SimSun"/>
          <w:color w:val="182030"/>
          <w:sz w:val="24"/>
          <w:szCs w:val="24"/>
        </w:rPr>
        <w:t xml:space="preserve">Controlled Salesforce write-back with pre-commit validation and audit logging</w:t>
      </w:r>
    </w:p>
    <w:p>
      <w:pPr>
        <w:pStyle w:val="ListParagraph"/>
        <w:numPr>
          <w:ilvl w:val="0"/>
          <w:numId w:val="1"/>
        </w:numPr>
        <w:spacing w:after="40" w:line="312"/>
      </w:pPr>
      <w:r>
        <w:rPr>
          <w:rFonts w:ascii="Times New Roman" w:eastAsia="SimSun"/>
          <w:color w:val="182030"/>
          <w:sz w:val="24"/>
          <w:szCs w:val="24"/>
        </w:rPr>
        <w:t xml:space="preserve">Offline-first architecture with local persistence and synchronization on reconnect</w:t>
      </w:r>
    </w:p>
    <w:p>
      <w:pPr>
        <w:pStyle w:val="ListParagraph"/>
        <w:numPr>
          <w:ilvl w:val="0"/>
          <w:numId w:val="1"/>
        </w:numPr>
        <w:spacing w:after="40" w:line="312"/>
      </w:pPr>
      <w:r>
        <w:rPr>
          <w:rFonts w:ascii="Times New Roman" w:eastAsia="SimSun"/>
          <w:color w:val="182030"/>
          <w:sz w:val="24"/>
          <w:szCs w:val="24"/>
        </w:rPr>
        <w:t xml:space="preserve">Controlled benchmarking data feed pathway</w:t>
      </w:r>
    </w:p>
    <w:p>
      <w:pPr>
        <w:pStyle w:val="ListParagraph"/>
        <w:numPr>
          <w:ilvl w:val="0"/>
          <w:numId w:val="1"/>
        </w:numPr>
        <w:spacing w:after="40" w:line="312"/>
      </w:pPr>
      <w:r>
        <w:rPr>
          <w:rFonts w:ascii="Times New Roman" w:eastAsia="SimSun"/>
          <w:color w:val="182030"/>
          <w:sz w:val="24"/>
          <w:szCs w:val="24"/>
        </w:rPr>
        <w:t xml:space="preserve">HQ dashboards, intervention priority views, and scorecard support</w:t>
      </w:r>
    </w:p>
    <w:p>
      <w:pPr>
        <w:pStyle w:val="ListParagraph"/>
        <w:numPr>
          <w:ilvl w:val="0"/>
          <w:numId w:val="1"/>
        </w:numPr>
        <w:spacing w:after="40" w:line="312"/>
      </w:pPr>
      <w:r>
        <w:rPr>
          <w:rFonts w:ascii="Times New Roman" w:eastAsia="SimSun"/>
          <w:color w:val="182030"/>
          <w:sz w:val="24"/>
          <w:szCs w:val="24"/>
        </w:rPr>
        <w:t xml:space="preserve">RBAC aligned to country, HQ, executive, and product owner roles</w:t>
      </w:r>
    </w:p>
    <w:p>
      <w:pPr>
        <w:pStyle w:val="ListParagraph"/>
        <w:numPr>
          <w:ilvl w:val="0"/>
          <w:numId w:val="1"/>
        </w:numPr>
        <w:spacing w:after="40" w:line="312"/>
      </w:pPr>
      <w:r>
        <w:rPr>
          <w:rFonts w:ascii="Times New Roman" w:eastAsia="SimSun"/>
          <w:color w:val="182030"/>
          <w:sz w:val="24"/>
          <w:szCs w:val="24"/>
        </w:rPr>
        <w:t xml:space="preserve">Data migration from current Google Sheets LAT process</w:t>
      </w:r>
    </w:p>
    <w:p>
      <w:pPr>
        <w:pStyle w:val="ListParagraph"/>
        <w:numPr>
          <w:ilvl w:val="0"/>
          <w:numId w:val="1"/>
        </w:numPr>
        <w:spacing w:after="40" w:line="312"/>
      </w:pPr>
      <w:r>
        <w:rPr>
          <w:rFonts w:ascii="Times New Roman" w:eastAsia="SimSun"/>
          <w:color w:val="182030"/>
          <w:sz w:val="24"/>
          <w:szCs w:val="24"/>
        </w:rPr>
        <w:t xml:space="preserve">Training, change management, admin handover, and warranty support</w:t>
      </w:r>
    </w:p>
    <w:p>
      <w:pPr>
        <w:pStyle w:val="Heading2"/>
        <w:spacing w:after="120" w:before="240" w:line="312"/>
      </w:pPr>
      <w:bookmarkStart w:id="100011" w:name="_Toc100011"/>
      <w:r>
        <w:rPr>
          <w:rFonts w:ascii="Times New Roman" w:eastAsia="SimHei"/>
          <w:b/>
          <w:bCs/>
          <w:color w:val="182030"/>
        </w:rPr>
        <w:t xml:space="preserve">5.2 Out of Scope</w:t>
      </w:r>
      <w:bookmarkEnd w:id="100011"/>
    </w:p>
    <w:p>
      <w:pPr>
        <w:pStyle w:val="ListParagraph"/>
        <w:numPr>
          <w:ilvl w:val="0"/>
          <w:numId w:val="1"/>
        </w:numPr>
        <w:spacing w:after="40" w:line="312"/>
      </w:pPr>
      <w:r>
        <w:rPr>
          <w:rFonts w:ascii="Times New Roman" w:eastAsia="SimSun"/>
          <w:color w:val="182030"/>
          <w:sz w:val="24"/>
          <w:szCs w:val="24"/>
        </w:rPr>
        <w:t xml:space="preserve">Replacement or modification of Salesforce as the system of record</w:t>
      </w:r>
    </w:p>
    <w:p>
      <w:pPr>
        <w:pStyle w:val="ListParagraph"/>
        <w:numPr>
          <w:ilvl w:val="0"/>
          <w:numId w:val="1"/>
        </w:numPr>
        <w:spacing w:after="40" w:line="312"/>
      </w:pPr>
      <w:r>
        <w:rPr>
          <w:rFonts w:ascii="Times New Roman" w:eastAsia="SimSun"/>
          <w:color w:val="182030"/>
          <w:sz w:val="24"/>
          <w:szCs w:val="24"/>
        </w:rPr>
        <w:t xml:space="preserve">Replacement of Power BI as the analytics and reporting layer</w:t>
      </w:r>
    </w:p>
    <w:p>
      <w:pPr>
        <w:pStyle w:val="ListParagraph"/>
        <w:numPr>
          <w:ilvl w:val="0"/>
          <w:numId w:val="1"/>
        </w:numPr>
        <w:spacing w:after="40" w:line="312"/>
      </w:pPr>
      <w:r>
        <w:rPr>
          <w:rFonts w:ascii="Times New Roman" w:eastAsia="SimSun"/>
          <w:color w:val="182030"/>
          <w:sz w:val="24"/>
          <w:szCs w:val="24"/>
        </w:rPr>
        <w:t xml:space="preserve">Training of vendor-owned, shared, or third-party models on Aceli data</w:t>
      </w:r>
    </w:p>
    <w:p>
      <w:pPr>
        <w:pStyle w:val="ListParagraph"/>
        <w:numPr>
          <w:ilvl w:val="0"/>
          <w:numId w:val="1"/>
        </w:numPr>
        <w:spacing w:after="40" w:line="312"/>
      </w:pPr>
      <w:r>
        <w:rPr>
          <w:rFonts w:ascii="Times New Roman" w:eastAsia="SimSun"/>
          <w:color w:val="182030"/>
          <w:sz w:val="24"/>
          <w:szCs w:val="24"/>
        </w:rPr>
        <w:t xml:space="preserve">Auto-commit of AI-generated updates without human review</w:t>
      </w:r>
    </w:p>
    <w:p>
      <w:pPr>
        <w:pStyle w:val="ListParagraph"/>
        <w:numPr>
          <w:ilvl w:val="0"/>
          <w:numId w:val="1"/>
        </w:numPr>
        <w:spacing w:after="40" w:line="312"/>
      </w:pPr>
      <w:r>
        <w:rPr>
          <w:rFonts w:ascii="Times New Roman" w:eastAsia="SimSun"/>
          <w:color w:val="182030"/>
          <w:sz w:val="24"/>
          <w:szCs w:val="24"/>
        </w:rPr>
        <w:t xml:space="preserve">Unmanaged exports, shadow databases, or manual reconciliation routines</w:t>
      </w:r>
    </w:p>
    <w:p>
      <w:pPr>
        <w:pStyle w:val="Heading1"/>
        <w:spacing w:after="120" w:before="360" w:line="312"/>
      </w:pPr>
      <w:bookmarkStart w:id="100012" w:name="_Toc100012"/>
      <w:r>
        <w:rPr>
          <w:rFonts w:ascii="Times New Roman" w:eastAsia="SimHei"/>
          <w:b/>
          <w:bCs/>
          <w:color w:val="182030"/>
        </w:rPr>
        <w:t xml:space="preserve">6. Guiding Principles</w:t>
      </w:r>
      <w:bookmarkEnd w:id="100012"/>
    </w:p>
    <w:p>
      <w:pPr>
        <w:spacing w:after="80" w:line="312"/>
        <w:ind w:firstLine="480"/>
        <w:jc w:val="both"/>
      </w:pPr>
      <w:r>
        <w:rPr>
          <w:rFonts w:ascii="Times New Roman" w:eastAsia="SimSun"/>
          <w:color w:val="182030"/>
          <w:sz w:val="24"/>
          <w:szCs w:val="24"/>
        </w:rPr>
        <w:t xml:space="preserve">The following principles are non-negotiable and derive directly from the RFP. Every design decision, code contribution, and documentation artifact must be consistent with these constraints.</w:t>
      </w:r>
    </w:p>
    <w:p>
      <w:pPr>
        <w:pStyle w:val="ListParagraph"/>
        <w:numPr>
          <w:ilvl w:val="0"/>
          <w:numId w:val="1"/>
        </w:numPr>
        <w:spacing w:after="40" w:line="312"/>
      </w:pPr>
      <w:r>
        <w:rPr>
          <w:rFonts w:ascii="Times New Roman" w:eastAsia="SimSun"/>
          <w:color w:val="182030"/>
          <w:sz w:val="24"/>
          <w:szCs w:val="24"/>
        </w:rPr>
        <w:t xml:space="preserve">Salesforce as source of truth: The LAT platform is the field-facing workflow and intelligence layer. It does not replace Salesforce or create competing data stores.</w:t>
      </w:r>
    </w:p>
    <w:p>
      <w:pPr>
        <w:pStyle w:val="ListParagraph"/>
        <w:numPr>
          <w:ilvl w:val="0"/>
          <w:numId w:val="1"/>
        </w:numPr>
        <w:spacing w:after="40" w:line="312"/>
      </w:pPr>
      <w:r>
        <w:rPr>
          <w:rFonts w:ascii="Times New Roman" w:eastAsia="SimSun"/>
          <w:color w:val="182030"/>
          <w:sz w:val="24"/>
          <w:szCs w:val="24"/>
        </w:rPr>
        <w:t xml:space="preserve">Power BI as analytics layer: Power BI remains the analytics and reporting layer. It must not become the operational system of record or a data capture tool.</w:t>
      </w:r>
    </w:p>
    <w:p>
      <w:pPr>
        <w:pStyle w:val="ListParagraph"/>
        <w:numPr>
          <w:ilvl w:val="0"/>
          <w:numId w:val="1"/>
        </w:numPr>
        <w:spacing w:after="40" w:line="312"/>
      </w:pPr>
      <w:r>
        <w:rPr>
          <w:rFonts w:ascii="Times New Roman" w:eastAsia="SimSun"/>
          <w:color w:val="182030"/>
          <w:sz w:val="24"/>
          <w:szCs w:val="24"/>
        </w:rPr>
        <w:t xml:space="preserve">Controlled benchmarking: The benchmarking data store must be fed through a controlled, validated pathway only. No shadow databases, unmanaged exports, or manual reconciliation.</w:t>
      </w:r>
    </w:p>
    <w:p>
      <w:pPr>
        <w:pStyle w:val="ListParagraph"/>
        <w:numPr>
          <w:ilvl w:val="0"/>
          <w:numId w:val="1"/>
        </w:numPr>
        <w:spacing w:after="40" w:line="312"/>
      </w:pPr>
      <w:r>
        <w:rPr>
          <w:rFonts w:ascii="Times New Roman" w:eastAsia="SimSun"/>
          <w:color w:val="182030"/>
          <w:sz w:val="24"/>
          <w:szCs w:val="24"/>
        </w:rPr>
        <w:t xml:space="preserve">Human-in-the-loop for all AI outputs: All AI-suggested updates require human review before write-back. No auto-commit, no bypass, no exceptions.</w:t>
      </w:r>
    </w:p>
    <w:p>
      <w:pPr>
        <w:pStyle w:val="ListParagraph"/>
        <w:numPr>
          <w:ilvl w:val="0"/>
          <w:numId w:val="1"/>
        </w:numPr>
        <w:spacing w:after="40" w:line="312"/>
      </w:pPr>
      <w:r>
        <w:rPr>
          <w:rFonts w:ascii="Times New Roman" w:eastAsia="SimSun"/>
          <w:color w:val="182030"/>
          <w:sz w:val="24"/>
          <w:szCs w:val="24"/>
        </w:rPr>
        <w:t xml:space="preserve">Audit-ready logging: All AI-assisted decisions and outputs must produce structured, immutable, exportable audit logs.</w:t>
      </w:r>
    </w:p>
    <w:p>
      <w:pPr>
        <w:pStyle w:val="ListParagraph"/>
        <w:numPr>
          <w:ilvl w:val="0"/>
          <w:numId w:val="1"/>
        </w:numPr>
        <w:spacing w:after="40" w:line="312"/>
      </w:pPr>
      <w:r>
        <w:rPr>
          <w:rFonts w:ascii="Times New Roman" w:eastAsia="SimSun"/>
          <w:color w:val="182030"/>
          <w:sz w:val="24"/>
          <w:szCs w:val="24"/>
        </w:rPr>
        <w:t xml:space="preserve">No data for model training: No lender-level or borrower-level data may be used to train vendor-owned, shared, or third-party models.</w:t>
      </w:r>
    </w:p>
    <w:p>
      <w:pPr>
        <w:pStyle w:val="ListParagraph"/>
        <w:numPr>
          <w:ilvl w:val="0"/>
          <w:numId w:val="1"/>
        </w:numPr>
        <w:spacing w:after="40" w:line="312"/>
      </w:pPr>
      <w:r>
        <w:rPr>
          <w:rFonts w:ascii="Times New Roman" w:eastAsia="SimSun"/>
          <w:color w:val="182030"/>
          <w:sz w:val="24"/>
          <w:szCs w:val="24"/>
        </w:rPr>
        <w:t xml:space="preserve">Approved tenants only: All processing must run within Aceli-approved enterprise tenants or approved vendor platforms.</w:t>
      </w:r>
    </w:p>
    <w:p>
      <w:pPr>
        <w:pStyle w:val="ListParagraph"/>
        <w:numPr>
          <w:ilvl w:val="0"/>
          <w:numId w:val="1"/>
        </w:numPr>
        <w:spacing w:after="40" w:line="312"/>
      </w:pPr>
      <w:r>
        <w:rPr>
          <w:rFonts w:ascii="Times New Roman" w:eastAsia="SimSun"/>
          <w:color w:val="182030"/>
          <w:sz w:val="24"/>
          <w:szCs w:val="24"/>
        </w:rPr>
        <w:t xml:space="preserve">Offline-first: The solution must support low-bandwidth operation and offline capture with later synchronization.</w:t>
      </w:r>
    </w:p>
    <w:p>
      <w:pPr>
        <w:pStyle w:val="ListParagraph"/>
        <w:numPr>
          <w:ilvl w:val="0"/>
          <w:numId w:val="1"/>
        </w:numPr>
        <w:spacing w:after="40" w:line="312"/>
      </w:pPr>
      <w:r>
        <w:rPr>
          <w:rFonts w:ascii="Times New Roman" w:eastAsia="SimSun"/>
          <w:color w:val="182030"/>
          <w:sz w:val="24"/>
          <w:szCs w:val="24"/>
        </w:rPr>
        <w:t xml:space="preserve">99.5% availability: The solution must target 99.5% availability during business hours.</w:t>
      </w:r>
    </w:p>
    <w:p>
      <w:pPr>
        <w:pStyle w:val="ListParagraph"/>
        <w:numPr>
          <w:ilvl w:val="0"/>
          <w:numId w:val="1"/>
        </w:numPr>
        <w:spacing w:after="40" w:line="312"/>
      </w:pPr>
      <w:r>
        <w:rPr>
          <w:rFonts w:ascii="Times New Roman" w:eastAsia="SimSun"/>
          <w:color w:val="182030"/>
          <w:sz w:val="24"/>
          <w:szCs w:val="24"/>
        </w:rPr>
        <w:t xml:space="preserve">Documentation as a first-class output: Documentation, testing, release evidence, and admin handover are equal to application code in importance.</w:t>
      </w:r>
    </w:p>
    <w:p>
      <w:pPr>
        <w:pStyle w:val="Heading1"/>
        <w:spacing w:after="120" w:before="360" w:line="312"/>
      </w:pPr>
      <w:bookmarkStart w:id="100013" w:name="_Toc100013"/>
      <w:r>
        <w:rPr>
          <w:rFonts w:ascii="Times New Roman" w:eastAsia="SimHei"/>
          <w:b/>
          <w:bCs/>
          <w:color w:val="182030"/>
        </w:rPr>
        <w:t xml:space="preserve">7. Success Criteria</w:t>
      </w:r>
      <w:bookmarkEnd w:id="100013"/>
    </w:p>
    <w:p>
      <w:pPr>
        <w:spacing w:after="80" w:line="312"/>
        <w:ind w:firstLine="480"/>
        <w:jc w:val="both"/>
      </w:pPr>
      <w:r>
        <w:rPr>
          <w:rFonts w:ascii="Times New Roman" w:eastAsia="SimSun"/>
          <w:color w:val="182030"/>
          <w:sz w:val="24"/>
          <w:szCs w:val="24"/>
        </w:rPr>
        <w:t xml:space="preserve">The program is successful only if the following criteria are met, as measured by objective evidence gathered during pilot and rollout phases:</w:t>
      </w:r>
    </w:p>
    <w:p>
      <w:pPr>
        <w:pStyle w:val="ListParagraph"/>
        <w:numPr>
          <w:ilvl w:val="0"/>
          <w:numId w:val="1"/>
        </w:numPr>
        <w:spacing w:after="40" w:line="312"/>
      </w:pPr>
      <w:r>
        <w:rPr>
          <w:rFonts w:ascii="Times New Roman" w:eastAsia="SimSun"/>
          <w:color w:val="182030"/>
          <w:sz w:val="24"/>
          <w:szCs w:val="24"/>
        </w:rPr>
        <w:t xml:space="preserve">Pilot environment operational by Day 90 with priority lenders loaded and end-to-end workflow functional.</w:t>
      </w:r>
    </w:p>
    <w:p>
      <w:pPr>
        <w:pStyle w:val="ListParagraph"/>
        <w:numPr>
          <w:ilvl w:val="0"/>
          <w:numId w:val="1"/>
        </w:numPr>
        <w:spacing w:after="40" w:line="312"/>
      </w:pPr>
      <w:r>
        <w:rPr>
          <w:rFonts w:ascii="Times New Roman" w:eastAsia="SimSun"/>
          <w:color w:val="182030"/>
          <w:sz w:val="24"/>
          <w:szCs w:val="24"/>
        </w:rPr>
        <w:t xml:space="preserve">At least 60% reconciliation time reduction evidenced through structured baseline-to-pilot comparison.</w:t>
      </w:r>
    </w:p>
    <w:p>
      <w:pPr>
        <w:pStyle w:val="ListParagraph"/>
        <w:numPr>
          <w:ilvl w:val="0"/>
          <w:numId w:val="1"/>
        </w:numPr>
        <w:spacing w:after="40" w:line="312"/>
      </w:pPr>
      <w:r>
        <w:rPr>
          <w:rFonts w:ascii="Times New Roman" w:eastAsia="SimSun"/>
          <w:color w:val="182030"/>
          <w:sz w:val="24"/>
          <w:szCs w:val="24"/>
        </w:rPr>
        <w:t xml:space="preserve">Monthly active use demonstrated by field staff in the pilot country.</w:t>
      </w:r>
    </w:p>
    <w:p>
      <w:pPr>
        <w:pStyle w:val="ListParagraph"/>
        <w:numPr>
          <w:ilvl w:val="0"/>
          <w:numId w:val="1"/>
        </w:numPr>
        <w:spacing w:after="40" w:line="312"/>
      </w:pPr>
      <w:r>
        <w:rPr>
          <w:rFonts w:ascii="Times New Roman" w:eastAsia="SimSun"/>
          <w:color w:val="182030"/>
          <w:sz w:val="24"/>
          <w:szCs w:val="24"/>
        </w:rPr>
        <w:t xml:space="preserve">Weekly active use evidenced across all five countries following full rollout.</w:t>
      </w:r>
    </w:p>
    <w:p>
      <w:pPr>
        <w:pStyle w:val="ListParagraph"/>
        <w:numPr>
          <w:ilvl w:val="0"/>
          <w:numId w:val="1"/>
        </w:numPr>
        <w:spacing w:after="40" w:line="312"/>
      </w:pPr>
      <w:r>
        <w:rPr>
          <w:rFonts w:ascii="Times New Roman" w:eastAsia="SimSun"/>
          <w:color w:val="182030"/>
          <w:sz w:val="24"/>
          <w:szCs w:val="24"/>
        </w:rPr>
        <w:t xml:space="preserve">Bidirectional Salesforce synchronization operational and verified.</w:t>
      </w:r>
    </w:p>
    <w:p>
      <w:pPr>
        <w:pStyle w:val="ListParagraph"/>
        <w:numPr>
          <w:ilvl w:val="0"/>
          <w:numId w:val="1"/>
        </w:numPr>
        <w:spacing w:after="40" w:line="312"/>
      </w:pPr>
      <w:r>
        <w:rPr>
          <w:rFonts w:ascii="Times New Roman" w:eastAsia="SimSun"/>
          <w:color w:val="182030"/>
          <w:sz w:val="24"/>
          <w:szCs w:val="24"/>
        </w:rPr>
        <w:t xml:space="preserve">All AI-generated updates pass through human review with no auto-commit incidents.</w:t>
      </w:r>
    </w:p>
    <w:p>
      <w:pPr>
        <w:pStyle w:val="ListParagraph"/>
        <w:numPr>
          <w:ilvl w:val="0"/>
          <w:numId w:val="1"/>
        </w:numPr>
        <w:spacing w:after="40" w:line="312"/>
      </w:pPr>
      <w:r>
        <w:rPr>
          <w:rFonts w:ascii="Times New Roman" w:eastAsia="SimSun"/>
          <w:color w:val="182030"/>
          <w:sz w:val="24"/>
          <w:szCs w:val="24"/>
        </w:rPr>
        <w:t xml:space="preserve">Audit logs are complete, immutable, and exportable for all user and AI actions.</w:t>
      </w:r>
    </w:p>
    <w:p>
      <w:pPr>
        <w:pStyle w:val="ListParagraph"/>
        <w:numPr>
          <w:ilvl w:val="0"/>
          <w:numId w:val="1"/>
        </w:numPr>
        <w:spacing w:after="40" w:line="312"/>
      </w:pPr>
      <w:r>
        <w:rPr>
          <w:rFonts w:ascii="Times New Roman" w:eastAsia="SimSun"/>
          <w:color w:val="182030"/>
          <w:sz w:val="24"/>
          <w:szCs w:val="24"/>
        </w:rPr>
        <w:t xml:space="preserve">No shadow databases, unmanaged exports, or manual reconciliation routines exist.</w:t>
      </w:r>
    </w:p>
    <w:p>
      <w:pPr>
        <w:pStyle w:val="ListParagraph"/>
        <w:numPr>
          <w:ilvl w:val="0"/>
          <w:numId w:val="1"/>
        </w:numPr>
        <w:spacing w:after="40" w:line="312"/>
      </w:pPr>
      <w:r>
        <w:rPr>
          <w:rFonts w:ascii="Times New Roman" w:eastAsia="SimSun"/>
          <w:color w:val="182030"/>
          <w:sz w:val="24"/>
          <w:szCs w:val="24"/>
        </w:rPr>
        <w:t xml:space="preserve">Admin handover completed with accepted documentation and trained administrators.</w:t>
      </w:r>
    </w:p>
    <w:p>
      <w:pPr>
        <w:pStyle w:val="ListParagraph"/>
        <w:numPr>
          <w:ilvl w:val="0"/>
          <w:numId w:val="1"/>
        </w:numPr>
        <w:spacing w:after="40" w:line="312"/>
      </w:pPr>
      <w:r>
        <w:rPr>
          <w:rFonts w:ascii="Times New Roman" w:eastAsia="SimSun"/>
          <w:color w:val="182030"/>
          <w:sz w:val="24"/>
          <w:szCs w:val="24"/>
        </w:rPr>
        <w:t xml:space="preserve">Warranty obligations met with defects resolved within SLA.</w:t>
      </w:r>
    </w:p>
    <w:p>
      <w:pPr>
        <w:pStyle w:val="Heading1"/>
        <w:spacing w:after="120" w:before="360" w:line="312"/>
      </w:pPr>
      <w:bookmarkStart w:id="100014" w:name="_Toc100014"/>
      <w:r>
        <w:rPr>
          <w:rFonts w:ascii="Times New Roman" w:eastAsia="SimHei"/>
          <w:b/>
          <w:bCs/>
          <w:color w:val="182030"/>
        </w:rPr>
        <w:t xml:space="preserve">8. Stakeholder Alignment</w:t>
      </w:r>
      <w:bookmarkEnd w:id="100014"/>
    </w:p>
    <w:p>
      <w:pPr>
        <w:spacing w:after="80" w:line="312"/>
        <w:ind w:firstLine="480"/>
        <w:jc w:val="both"/>
      </w:pPr>
      <w:r>
        <w:rPr>
          <w:rFonts w:ascii="Times New Roman" w:eastAsia="SimSun"/>
          <w:color w:val="182030"/>
          <w:sz w:val="24"/>
          <w:szCs w:val="24"/>
        </w:rPr>
        <w:t xml:space="preserve">The LAT platform serves multiple stakeholder groups with distinct needs and access patterns. Country Directors and Country Managers require field-ready tools for meeting capture and lender status review. The LAT Working Group needs structured review and approval workflows. HQ staff require aggregated visibility into activation progress, intervention priorities, and scorecard traceability. Executive stakeholders require evidence of KPI movement, operational governance, and audit readiness. The platform’s RBAC model, UX design, and reporting capabilities must address each group’s requirements without creating role conflicts or data access violations.</w:t>
      </w:r>
    </w:p>
    <w:p>
      <w:pPr>
        <w:spacing w:after="80" w:line="312"/>
        <w:ind w:firstLine="480"/>
        <w:jc w:val="both"/>
      </w:pPr>
      <w:r>
        <w:rPr>
          <w:rFonts w:ascii="Times New Roman" w:eastAsia="SimSun"/>
          <w:color w:val="182030"/>
          <w:sz w:val="24"/>
          <w:szCs w:val="24"/>
        </w:rPr>
        <w:t xml:space="preserve">Stakeholder alignment will be validated through the current-state process mapping in Sprint 1, the user persona pack, and the user story catalogue. The BRD and PRD produced in Sprint 1 will document stakeholder needs with explicit sign-off gates. Any gaps or open questions will be recorded as assumption records per the no-hallucination rule and resolved before the Week 4 design sign-off.</w:t>
      </w:r>
    </w:p>
    <w:p>
      <w:pPr>
        <w:pStyle w:val="Heading1"/>
        <w:spacing w:after="120" w:before="360" w:line="312"/>
      </w:pPr>
      <w:bookmarkStart w:id="100015" w:name="_Toc100015"/>
      <w:r>
        <w:rPr>
          <w:rFonts w:ascii="Times New Roman" w:eastAsia="SimHei"/>
          <w:b/>
          <w:bCs/>
          <w:color w:val="182030"/>
        </w:rPr>
        <w:t xml:space="preserve">9. Key Risks and Constraints</w:t>
      </w:r>
      <w:bookmarkEnd w:id="100015"/>
    </w:p>
    <w:p>
      <w:pPr>
        <w:spacing w:after="80" w:line="312"/>
        <w:ind w:firstLine="480"/>
        <w:jc w:val="both"/>
      </w:pPr>
      <w:r>
        <w:rPr>
          <w:rFonts w:ascii="Times New Roman" w:eastAsia="SimSun"/>
          <w:color w:val="182030"/>
          <w:sz w:val="24"/>
          <w:szCs w:val="24"/>
        </w:rPr>
        <w:t xml:space="preserve">Several risks and constraints must be actively managed throughout the program. Connectivity challenges in field environments require robust offline-first architecture with reliable synchronization and conflict resolution. Salesforce API rate limits and schema governance require careful integration design and coordination with Aceli’s Salesforce administrators. AI transcription accuracy for diverse African English accents and multilingual contexts must be tested and calibrated, with confidence scoring and extraction review flags to manage quality.</w:t>
      </w:r>
    </w:p>
    <w:p>
      <w:pPr>
        <w:spacing w:after="80" w:line="312"/>
        <w:ind w:firstLine="480"/>
        <w:jc w:val="both"/>
      </w:pPr>
      <w:r>
        <w:rPr>
          <w:rFonts w:ascii="Times New Roman" w:eastAsia="SimSun"/>
          <w:color w:val="182030"/>
          <w:sz w:val="24"/>
          <w:szCs w:val="24"/>
        </w:rPr>
        <w:t xml:space="preserve">Data migration from Google Sheets carries inherent quality risks due to inconsistent field usage, incomplete records, and undocumented formatting conventions. The migration workstream is treated as a full sub-program, not a script, with dry-run, reconciliation, and rollback requirements. Change management and adoption risk must be addressed through structured training, pilot hypercare, and country-specific rollout support. Legal and information security gating must be completed before any sensitive data access, and NDA/DPA requirements must be satisfied before onboarding.</w:t>
      </w:r>
    </w:p>
    <w:p>
      <w:pPr>
        <w:pStyle w:val="Heading1"/>
        <w:spacing w:after="120" w:before="360" w:line="312"/>
      </w:pPr>
      <w:bookmarkStart w:id="100016" w:name="_Toc100016"/>
      <w:r>
        <w:rPr>
          <w:rFonts w:ascii="Times New Roman" w:eastAsia="SimHei"/>
          <w:b/>
          <w:bCs/>
          <w:color w:val="182030"/>
        </w:rPr>
        <w:t xml:space="preserve">10. Next Steps</w:t>
      </w:r>
      <w:bookmarkEnd w:id="100016"/>
    </w:p>
    <w:p>
      <w:pPr>
        <w:spacing w:after="80" w:line="312"/>
        <w:ind w:firstLine="480"/>
        <w:jc w:val="both"/>
      </w:pPr>
      <w:r>
        <w:rPr>
          <w:rFonts w:ascii="Times New Roman" w:eastAsia="SimSun"/>
          <w:color w:val="182030"/>
          <w:sz w:val="24"/>
          <w:szCs w:val="24"/>
        </w:rPr>
        <w:t xml:space="preserve">Following Sprint 0 mobilization, the immediate next steps are: execute Sprint 1 discovery activities including current-state process mapping, baseline measurement design, and user persona development; produce the BRD, PRD, and initial user story catalogue; and prepare for the Sprint 2 design phase where the target-state architecture, SRS, FRS, and integration specifications will be finalized. All work must comply with the mandatory agent rules, quality gates, and documentation requirements defined in the Sprint Plan.</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08080"/>
        <w:sz w:val="18"/>
        <w:szCs w:val="18"/>
      </w:rPr>
      <w:t xml:space="preserve">Aceli LAT Vision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18203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182030"/>
      <w:sz w:val="32"/>
      <w:szCs w:val="32"/>
    </w:rPr>
  </w:style>
  <w:style w:type="paragraph" w:styleId="Heading2">
    <w:name w:val="Heading 2"/>
    <w:basedOn w:val="Normal"/>
    <w:next w:val="Normal"/>
    <w:qFormat/>
    <w:pPr>
      <w:spacing w:after="120" w:before="240" w:line="312"/>
      <w:outlineLvl w:val="1"/>
    </w:pPr>
    <w:rPr>
      <w:rFonts w:ascii="Times New Roman" w:eastAsia="SimHei"/>
      <w:b/>
      <w:bCs/>
      <w:color w:val="182030"/>
      <w:sz w:val="28"/>
      <w:szCs w:val="28"/>
    </w:rPr>
  </w:style>
  <w:style w:type="paragraph" w:styleId="Heading3">
    <w:name w:val="Heading 3"/>
    <w:basedOn w:val="Normal"/>
    <w:next w:val="Normal"/>
    <w:qFormat/>
    <w:pPr>
      <w:spacing w:after="100" w:before="200" w:line="312"/>
      <w:outlineLvl w:val="2"/>
    </w:pPr>
    <w:rPr>
      <w:rFonts w:ascii="Times New Roman" w:eastAsia="SimHei"/>
      <w:b/>
      <w:bCs/>
      <w:color w:val="18203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2026-06-12T05:03:58.842Z</dcterms:created>
  <dcterms:modified xsi:type="dcterms:W3CDTF">2026-06-12T05:03:58.842Z</dcterms:modified>
</cp:coreProperties>
</file>

<file path=docProps/custom.xml><?xml version="1.0" encoding="utf-8"?>
<Properties xmlns="http://schemas.openxmlformats.org/officeDocument/2006/custom-properties" xmlns:vt="http://schemas.openxmlformats.org/officeDocument/2006/docPropsVTypes"/>
</file>